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8D7391" w:rsidRDefault="00687098" w:rsidP="003D2EE4">
      <w:pPr>
        <w:jc w:val="center"/>
        <w:rPr>
          <w:b/>
          <w:sz w:val="22"/>
          <w:szCs w:val="22"/>
        </w:rPr>
      </w:pPr>
      <w:r w:rsidRPr="008D7391">
        <w:rPr>
          <w:b/>
          <w:sz w:val="22"/>
          <w:szCs w:val="22"/>
        </w:rPr>
        <w:t>Решение № 03-10.1/</w:t>
      </w:r>
      <w:r w:rsidR="00476A79" w:rsidRPr="008D7391">
        <w:rPr>
          <w:b/>
          <w:sz w:val="22"/>
          <w:szCs w:val="22"/>
        </w:rPr>
        <w:t>64</w:t>
      </w:r>
      <w:r w:rsidRPr="008D7391">
        <w:rPr>
          <w:b/>
          <w:sz w:val="22"/>
          <w:szCs w:val="22"/>
        </w:rPr>
        <w:t>-201</w:t>
      </w:r>
      <w:r w:rsidR="00655564" w:rsidRPr="008D7391">
        <w:rPr>
          <w:b/>
          <w:sz w:val="22"/>
          <w:szCs w:val="22"/>
        </w:rPr>
        <w:t>3</w:t>
      </w:r>
    </w:p>
    <w:p w:rsidR="003F3F18" w:rsidRPr="008D7391" w:rsidRDefault="00687098" w:rsidP="003D2EE4">
      <w:pPr>
        <w:jc w:val="center"/>
        <w:rPr>
          <w:snapToGrid w:val="0"/>
          <w:sz w:val="22"/>
          <w:szCs w:val="22"/>
        </w:rPr>
      </w:pPr>
      <w:r w:rsidRPr="008D7391">
        <w:rPr>
          <w:snapToGrid w:val="0"/>
          <w:sz w:val="22"/>
          <w:szCs w:val="22"/>
        </w:rPr>
        <w:t>о признании жалоб</w:t>
      </w:r>
      <w:r w:rsidR="002372F2" w:rsidRPr="008D7391">
        <w:rPr>
          <w:snapToGrid w:val="0"/>
          <w:sz w:val="22"/>
          <w:szCs w:val="22"/>
        </w:rPr>
        <w:t>ы</w:t>
      </w:r>
      <w:r w:rsidRPr="008D7391">
        <w:rPr>
          <w:snapToGrid w:val="0"/>
          <w:sz w:val="22"/>
          <w:szCs w:val="22"/>
        </w:rPr>
        <w:t xml:space="preserve"> </w:t>
      </w:r>
      <w:r w:rsidR="009F22C8" w:rsidRPr="008D7391">
        <w:rPr>
          <w:snapToGrid w:val="0"/>
          <w:sz w:val="22"/>
          <w:szCs w:val="22"/>
        </w:rPr>
        <w:t>обоснованн</w:t>
      </w:r>
      <w:r w:rsidR="00A82F44" w:rsidRPr="008D7391">
        <w:rPr>
          <w:snapToGrid w:val="0"/>
          <w:sz w:val="22"/>
          <w:szCs w:val="22"/>
        </w:rPr>
        <w:t>ой</w:t>
      </w:r>
    </w:p>
    <w:p w:rsidR="00F3257A" w:rsidRPr="008D7391" w:rsidRDefault="00F3257A" w:rsidP="003D2EE4">
      <w:pPr>
        <w:jc w:val="center"/>
        <w:rPr>
          <w:snapToGrid w:val="0"/>
          <w:sz w:val="22"/>
          <w:szCs w:val="22"/>
        </w:rPr>
      </w:pPr>
    </w:p>
    <w:tbl>
      <w:tblPr>
        <w:tblW w:w="0" w:type="auto"/>
        <w:tblLook w:val="01E0"/>
      </w:tblPr>
      <w:tblGrid>
        <w:gridCol w:w="5211"/>
        <w:gridCol w:w="5211"/>
      </w:tblGrid>
      <w:tr w:rsidR="003F3F18" w:rsidRPr="008D7391" w:rsidTr="000F587D">
        <w:tc>
          <w:tcPr>
            <w:tcW w:w="5211" w:type="dxa"/>
          </w:tcPr>
          <w:p w:rsidR="003F3F18" w:rsidRPr="008D7391" w:rsidRDefault="00476A79" w:rsidP="00BD70F8">
            <w:pPr>
              <w:spacing w:after="60"/>
              <w:rPr>
                <w:snapToGrid w:val="0"/>
                <w:sz w:val="22"/>
                <w:szCs w:val="22"/>
              </w:rPr>
            </w:pPr>
            <w:r w:rsidRPr="008D7391">
              <w:rPr>
                <w:snapToGrid w:val="0"/>
                <w:sz w:val="22"/>
                <w:szCs w:val="22"/>
              </w:rPr>
              <w:t>21</w:t>
            </w:r>
            <w:r w:rsidR="009A3EBD" w:rsidRPr="008D7391">
              <w:rPr>
                <w:snapToGrid w:val="0"/>
                <w:sz w:val="22"/>
                <w:szCs w:val="22"/>
              </w:rPr>
              <w:t xml:space="preserve"> марта</w:t>
            </w:r>
            <w:r w:rsidR="003F3F18" w:rsidRPr="008D7391">
              <w:rPr>
                <w:snapToGrid w:val="0"/>
                <w:sz w:val="22"/>
                <w:szCs w:val="22"/>
              </w:rPr>
              <w:t xml:space="preserve"> 201</w:t>
            </w:r>
            <w:r w:rsidR="00655564" w:rsidRPr="008D7391">
              <w:rPr>
                <w:snapToGrid w:val="0"/>
                <w:sz w:val="22"/>
                <w:szCs w:val="22"/>
              </w:rPr>
              <w:t>3</w:t>
            </w:r>
            <w:r w:rsidR="003F3F18" w:rsidRPr="008D7391">
              <w:rPr>
                <w:snapToGrid w:val="0"/>
                <w:sz w:val="22"/>
                <w:szCs w:val="22"/>
              </w:rPr>
              <w:t xml:space="preserve"> г.</w:t>
            </w:r>
          </w:p>
        </w:tc>
        <w:tc>
          <w:tcPr>
            <w:tcW w:w="5211" w:type="dxa"/>
          </w:tcPr>
          <w:p w:rsidR="003F3F18" w:rsidRPr="008D7391" w:rsidRDefault="003B543D" w:rsidP="003D2EE4">
            <w:pPr>
              <w:spacing w:after="60"/>
              <w:jc w:val="right"/>
              <w:rPr>
                <w:snapToGrid w:val="0"/>
                <w:sz w:val="22"/>
                <w:szCs w:val="22"/>
              </w:rPr>
            </w:pPr>
            <w:r w:rsidRPr="008D7391">
              <w:rPr>
                <w:snapToGrid w:val="0"/>
                <w:sz w:val="22"/>
                <w:szCs w:val="22"/>
              </w:rPr>
              <w:t>г</w:t>
            </w:r>
            <w:r w:rsidR="003F3F18" w:rsidRPr="008D7391">
              <w:rPr>
                <w:snapToGrid w:val="0"/>
                <w:sz w:val="22"/>
                <w:szCs w:val="22"/>
              </w:rPr>
              <w:t>. Омск</w:t>
            </w:r>
          </w:p>
        </w:tc>
      </w:tr>
    </w:tbl>
    <w:p w:rsidR="00687098" w:rsidRPr="008D7391" w:rsidRDefault="00687098" w:rsidP="003D2EE4">
      <w:pPr>
        <w:ind w:firstLine="709"/>
        <w:jc w:val="center"/>
        <w:rPr>
          <w:snapToGrid w:val="0"/>
          <w:sz w:val="22"/>
          <w:szCs w:val="22"/>
        </w:rPr>
      </w:pPr>
    </w:p>
    <w:p w:rsidR="00687098" w:rsidRPr="008D7391" w:rsidRDefault="00687098" w:rsidP="00982E58">
      <w:pPr>
        <w:pStyle w:val="a8"/>
        <w:tabs>
          <w:tab w:val="left" w:pos="-2800"/>
        </w:tabs>
        <w:ind w:firstLine="709"/>
        <w:jc w:val="both"/>
        <w:rPr>
          <w:sz w:val="22"/>
          <w:szCs w:val="22"/>
        </w:rPr>
      </w:pPr>
      <w:r w:rsidRPr="008D7391">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8D7391" w:rsidRDefault="00F01489" w:rsidP="00982E58">
      <w:pPr>
        <w:pStyle w:val="a8"/>
        <w:tabs>
          <w:tab w:val="left" w:pos="-2800"/>
        </w:tabs>
        <w:ind w:firstLine="709"/>
        <w:jc w:val="both"/>
        <w:rPr>
          <w:sz w:val="22"/>
          <w:szCs w:val="22"/>
        </w:rPr>
      </w:pPr>
      <w:r w:rsidRPr="008D7391">
        <w:rPr>
          <w:sz w:val="22"/>
          <w:szCs w:val="22"/>
        </w:rPr>
        <w:t>Шмаковой Т.П. -  заместителя руководителя Управления, Председателя Комиссии;</w:t>
      </w:r>
    </w:p>
    <w:p w:rsidR="004F5C0D" w:rsidRPr="008D7391" w:rsidRDefault="004F5C0D" w:rsidP="004F5C0D">
      <w:pPr>
        <w:pStyle w:val="a8"/>
        <w:tabs>
          <w:tab w:val="left" w:pos="-2800"/>
        </w:tabs>
        <w:ind w:firstLine="709"/>
        <w:jc w:val="both"/>
        <w:rPr>
          <w:sz w:val="22"/>
          <w:szCs w:val="22"/>
        </w:rPr>
      </w:pPr>
      <w:r w:rsidRPr="008D7391">
        <w:rPr>
          <w:sz w:val="22"/>
          <w:szCs w:val="22"/>
        </w:rPr>
        <w:t>Иванченко О.И. – начальника отдела контроля размещения государственного заказа, заместителя Председателя Комиссии;</w:t>
      </w:r>
    </w:p>
    <w:p w:rsidR="00655564" w:rsidRPr="008D7391" w:rsidRDefault="00F01489" w:rsidP="00655564">
      <w:pPr>
        <w:pStyle w:val="a8"/>
        <w:tabs>
          <w:tab w:val="left" w:pos="-2800"/>
        </w:tabs>
        <w:ind w:firstLine="709"/>
        <w:jc w:val="both"/>
        <w:rPr>
          <w:sz w:val="22"/>
          <w:szCs w:val="22"/>
        </w:rPr>
      </w:pPr>
      <w:r w:rsidRPr="008D7391">
        <w:rPr>
          <w:sz w:val="22"/>
          <w:szCs w:val="22"/>
        </w:rPr>
        <w:t>Шевченко А.Н. – ведущего специалиста-эксперта отдела контроля размещения государственного заказа, члена Комиссии;</w:t>
      </w:r>
      <w:r w:rsidR="00655564" w:rsidRPr="008D7391">
        <w:rPr>
          <w:sz w:val="22"/>
          <w:szCs w:val="22"/>
        </w:rPr>
        <w:t xml:space="preserve"> </w:t>
      </w:r>
    </w:p>
    <w:p w:rsidR="004F5C0D" w:rsidRPr="008D7391" w:rsidRDefault="004F5C0D" w:rsidP="004F5C0D">
      <w:pPr>
        <w:pStyle w:val="a8"/>
        <w:tabs>
          <w:tab w:val="left" w:pos="-2800"/>
        </w:tabs>
        <w:ind w:firstLine="709"/>
        <w:jc w:val="both"/>
        <w:rPr>
          <w:sz w:val="22"/>
          <w:szCs w:val="22"/>
        </w:rPr>
      </w:pPr>
      <w:r w:rsidRPr="008D7391">
        <w:rPr>
          <w:sz w:val="22"/>
          <w:szCs w:val="22"/>
        </w:rPr>
        <w:t>Кусановой Ш.М. – главного специалиста-эксперта отдела контроля размещения государс</w:t>
      </w:r>
      <w:r w:rsidR="00AD7618" w:rsidRPr="008D7391">
        <w:rPr>
          <w:sz w:val="22"/>
          <w:szCs w:val="22"/>
        </w:rPr>
        <w:t>твенного заказа, члена Комиссии</w:t>
      </w:r>
      <w:r w:rsidR="00A31E5E" w:rsidRPr="008D7391">
        <w:rPr>
          <w:sz w:val="22"/>
          <w:szCs w:val="22"/>
        </w:rPr>
        <w:t>;</w:t>
      </w:r>
    </w:p>
    <w:p w:rsidR="00A31E5E" w:rsidRPr="008D7391" w:rsidRDefault="00A31E5E" w:rsidP="00A31E5E">
      <w:pPr>
        <w:pStyle w:val="a8"/>
        <w:tabs>
          <w:tab w:val="left" w:pos="-2800"/>
        </w:tabs>
        <w:ind w:firstLine="709"/>
        <w:jc w:val="both"/>
        <w:rPr>
          <w:sz w:val="22"/>
          <w:szCs w:val="22"/>
        </w:rPr>
      </w:pPr>
      <w:r w:rsidRPr="008D7391">
        <w:rPr>
          <w:sz w:val="22"/>
          <w:szCs w:val="22"/>
        </w:rPr>
        <w:t>Алексиной А.П. – главного специалиста-эксперта отдела контроля размещения государственного заказа, члена Комиссии,</w:t>
      </w:r>
    </w:p>
    <w:p w:rsidR="00A60A32" w:rsidRPr="008D7391" w:rsidRDefault="00687098" w:rsidP="00797A02">
      <w:pPr>
        <w:ind w:firstLine="709"/>
        <w:jc w:val="both"/>
        <w:rPr>
          <w:sz w:val="22"/>
          <w:szCs w:val="22"/>
        </w:rPr>
      </w:pPr>
      <w:r w:rsidRPr="008D7391">
        <w:rPr>
          <w:sz w:val="22"/>
          <w:szCs w:val="22"/>
        </w:rPr>
        <w:t>рассмотрев жалоб</w:t>
      </w:r>
      <w:r w:rsidR="00A82F44" w:rsidRPr="008D7391">
        <w:rPr>
          <w:sz w:val="22"/>
          <w:szCs w:val="22"/>
        </w:rPr>
        <w:t>у</w:t>
      </w:r>
      <w:r w:rsidR="00AE78FE" w:rsidRPr="008D7391">
        <w:rPr>
          <w:sz w:val="22"/>
          <w:szCs w:val="22"/>
        </w:rPr>
        <w:t xml:space="preserve"> </w:t>
      </w:r>
      <w:r w:rsidR="00B56388" w:rsidRPr="008D7391">
        <w:rPr>
          <w:sz w:val="22"/>
          <w:szCs w:val="22"/>
        </w:rPr>
        <w:t>ООО «</w:t>
      </w:r>
      <w:r w:rsidR="00797A02" w:rsidRPr="008D7391">
        <w:rPr>
          <w:sz w:val="22"/>
          <w:szCs w:val="22"/>
        </w:rPr>
        <w:t>Ру</w:t>
      </w:r>
      <w:r w:rsidR="00B56388" w:rsidRPr="008D7391">
        <w:rPr>
          <w:sz w:val="22"/>
          <w:szCs w:val="22"/>
        </w:rPr>
        <w:t xml:space="preserve">тон» (далее – Заявитель, Общество) на действия </w:t>
      </w:r>
      <w:r w:rsidR="00797A02" w:rsidRPr="008D7391">
        <w:rPr>
          <w:sz w:val="22"/>
          <w:szCs w:val="22"/>
        </w:rPr>
        <w:t>Государственного учреждения – Омское региональное отделение Фонда социального страхования РФ</w:t>
      </w:r>
      <w:r w:rsidR="00B56388" w:rsidRPr="008D7391">
        <w:rPr>
          <w:sz w:val="22"/>
          <w:szCs w:val="22"/>
        </w:rPr>
        <w:t xml:space="preserve"> и его единой комиссии (далее – единая комиссия, Заказчик) при проведении открытого аукциона в электронной форме </w:t>
      </w:r>
      <w:r w:rsidR="00B56388" w:rsidRPr="008D7391">
        <w:rPr>
          <w:rStyle w:val="iceouttxt1"/>
          <w:rFonts w:ascii="Times New Roman" w:hAnsi="Times New Roman" w:cs="Times New Roman"/>
          <w:color w:val="auto"/>
          <w:sz w:val="22"/>
          <w:szCs w:val="22"/>
        </w:rPr>
        <w:t xml:space="preserve">на право заключения </w:t>
      </w:r>
      <w:r w:rsidR="00797A02" w:rsidRPr="008D7391">
        <w:rPr>
          <w:rStyle w:val="iceouttxt1"/>
          <w:rFonts w:ascii="Times New Roman" w:hAnsi="Times New Roman" w:cs="Times New Roman"/>
          <w:color w:val="auto"/>
          <w:sz w:val="22"/>
          <w:szCs w:val="22"/>
        </w:rPr>
        <w:t xml:space="preserve">государственного контракта на поставку картриджей для принтеров и многофункциональных устройств </w:t>
      </w:r>
      <w:r w:rsidR="00797A02" w:rsidRPr="008D7391">
        <w:rPr>
          <w:rStyle w:val="iceouttxt1"/>
          <w:rFonts w:ascii="Times New Roman" w:hAnsi="Times New Roman" w:cs="Times New Roman"/>
          <w:b/>
          <w:color w:val="auto"/>
          <w:sz w:val="22"/>
          <w:szCs w:val="22"/>
          <w:lang w:val="en-US"/>
        </w:rPr>
        <w:t>XEROX</w:t>
      </w:r>
      <w:r w:rsidR="00797A02" w:rsidRPr="008D7391">
        <w:rPr>
          <w:rStyle w:val="iceouttxt1"/>
          <w:rFonts w:ascii="Times New Roman" w:hAnsi="Times New Roman" w:cs="Times New Roman"/>
          <w:color w:val="auto"/>
          <w:sz w:val="22"/>
          <w:szCs w:val="22"/>
        </w:rPr>
        <w:t xml:space="preserve"> </w:t>
      </w:r>
      <w:r w:rsidR="00B56388" w:rsidRPr="008D7391">
        <w:rPr>
          <w:rStyle w:val="iceouttxt1"/>
          <w:rFonts w:ascii="Times New Roman" w:hAnsi="Times New Roman" w:cs="Times New Roman"/>
          <w:color w:val="auto"/>
          <w:sz w:val="22"/>
          <w:szCs w:val="22"/>
        </w:rPr>
        <w:t xml:space="preserve">(извещение № </w:t>
      </w:r>
      <w:r w:rsidR="00797A02" w:rsidRPr="008D7391">
        <w:rPr>
          <w:rStyle w:val="iceouttxt1"/>
          <w:rFonts w:ascii="Times New Roman" w:hAnsi="Times New Roman" w:cs="Times New Roman"/>
          <w:color w:val="auto"/>
          <w:sz w:val="22"/>
          <w:szCs w:val="22"/>
        </w:rPr>
        <w:t>0252100000113000008</w:t>
      </w:r>
      <w:r w:rsidR="00B56388" w:rsidRPr="008D7391">
        <w:rPr>
          <w:rStyle w:val="iceouttxt1"/>
          <w:rFonts w:ascii="Times New Roman" w:hAnsi="Times New Roman" w:cs="Times New Roman"/>
          <w:color w:val="auto"/>
          <w:sz w:val="22"/>
          <w:szCs w:val="22"/>
        </w:rPr>
        <w:t xml:space="preserve">) </w:t>
      </w:r>
      <w:r w:rsidR="00D00CC5" w:rsidRPr="008D7391">
        <w:rPr>
          <w:rStyle w:val="iceouttxt1"/>
          <w:rFonts w:ascii="Times New Roman" w:hAnsi="Times New Roman" w:cs="Times New Roman"/>
          <w:color w:val="auto"/>
          <w:sz w:val="22"/>
          <w:szCs w:val="22"/>
        </w:rPr>
        <w:t xml:space="preserve">(далее – открытый </w:t>
      </w:r>
      <w:r w:rsidR="004F5C0D" w:rsidRPr="008D7391">
        <w:rPr>
          <w:rStyle w:val="iceouttxt1"/>
          <w:rFonts w:ascii="Times New Roman" w:hAnsi="Times New Roman" w:cs="Times New Roman"/>
          <w:color w:val="auto"/>
          <w:sz w:val="22"/>
          <w:szCs w:val="22"/>
        </w:rPr>
        <w:t>аукцион</w:t>
      </w:r>
      <w:r w:rsidR="00D00CC5" w:rsidRPr="008D7391">
        <w:rPr>
          <w:rStyle w:val="iceouttxt1"/>
          <w:rFonts w:ascii="Times New Roman" w:hAnsi="Times New Roman" w:cs="Times New Roman"/>
          <w:color w:val="auto"/>
          <w:sz w:val="22"/>
          <w:szCs w:val="22"/>
        </w:rPr>
        <w:t>)</w:t>
      </w:r>
      <w:r w:rsidR="00A60A32" w:rsidRPr="008D7391">
        <w:rPr>
          <w:sz w:val="22"/>
          <w:szCs w:val="22"/>
        </w:rPr>
        <w:t>,</w:t>
      </w:r>
    </w:p>
    <w:p w:rsidR="00797A02" w:rsidRPr="00312D38" w:rsidRDefault="00A60A32" w:rsidP="00312D38">
      <w:pPr>
        <w:tabs>
          <w:tab w:val="left" w:pos="654"/>
        </w:tabs>
        <w:ind w:firstLine="709"/>
        <w:jc w:val="both"/>
        <w:rPr>
          <w:snapToGrid w:val="0"/>
          <w:sz w:val="22"/>
          <w:szCs w:val="22"/>
        </w:rPr>
      </w:pPr>
      <w:r w:rsidRPr="008D7391">
        <w:rPr>
          <w:snapToGrid w:val="0"/>
          <w:sz w:val="22"/>
          <w:szCs w:val="22"/>
        </w:rPr>
        <w:t xml:space="preserve">в присутствии </w:t>
      </w:r>
      <w:r w:rsidR="00312D38">
        <w:rPr>
          <w:snapToGrid w:val="0"/>
          <w:sz w:val="22"/>
          <w:szCs w:val="22"/>
          <w:lang w:val="en-US"/>
        </w:rPr>
        <w:t>&lt;…&gt;</w:t>
      </w:r>
      <w:r w:rsidR="00312D38">
        <w:rPr>
          <w:snapToGrid w:val="0"/>
          <w:sz w:val="22"/>
          <w:szCs w:val="22"/>
        </w:rPr>
        <w:t>,</w:t>
      </w:r>
    </w:p>
    <w:p w:rsidR="000A21C2" w:rsidRPr="008D7391" w:rsidRDefault="000A21C2" w:rsidP="00CC66D4">
      <w:pPr>
        <w:ind w:firstLine="709"/>
        <w:jc w:val="both"/>
        <w:rPr>
          <w:spacing w:val="60"/>
          <w:sz w:val="22"/>
          <w:szCs w:val="22"/>
        </w:rPr>
      </w:pPr>
    </w:p>
    <w:p w:rsidR="00687098" w:rsidRPr="008D7391" w:rsidRDefault="00E07BB4" w:rsidP="00982E58">
      <w:pPr>
        <w:jc w:val="center"/>
        <w:rPr>
          <w:spacing w:val="60"/>
          <w:sz w:val="22"/>
          <w:szCs w:val="22"/>
        </w:rPr>
      </w:pPr>
      <w:r w:rsidRPr="008D7391">
        <w:rPr>
          <w:spacing w:val="60"/>
          <w:sz w:val="22"/>
          <w:szCs w:val="22"/>
        </w:rPr>
        <w:t>УСТАНОВИЛА</w:t>
      </w:r>
      <w:r w:rsidR="00687098" w:rsidRPr="008D7391">
        <w:rPr>
          <w:spacing w:val="60"/>
          <w:sz w:val="22"/>
          <w:szCs w:val="22"/>
        </w:rPr>
        <w:t>:</w:t>
      </w:r>
    </w:p>
    <w:p w:rsidR="00687098" w:rsidRPr="008D7391" w:rsidRDefault="00687098" w:rsidP="00982E58">
      <w:pPr>
        <w:ind w:firstLine="709"/>
        <w:jc w:val="center"/>
        <w:rPr>
          <w:snapToGrid w:val="0"/>
          <w:sz w:val="22"/>
          <w:szCs w:val="22"/>
        </w:rPr>
      </w:pPr>
    </w:p>
    <w:p w:rsidR="005F1809" w:rsidRPr="008D7391" w:rsidRDefault="00687098" w:rsidP="005F1809">
      <w:pPr>
        <w:autoSpaceDE w:val="0"/>
        <w:autoSpaceDN w:val="0"/>
        <w:adjustRightInd w:val="0"/>
        <w:ind w:right="-41" w:firstLine="708"/>
        <w:jc w:val="both"/>
        <w:rPr>
          <w:sz w:val="22"/>
          <w:szCs w:val="22"/>
        </w:rPr>
      </w:pPr>
      <w:r w:rsidRPr="008D7391">
        <w:rPr>
          <w:b/>
          <w:sz w:val="22"/>
          <w:szCs w:val="22"/>
        </w:rPr>
        <w:t>1.</w:t>
      </w:r>
      <w:r w:rsidRPr="008D7391">
        <w:rPr>
          <w:sz w:val="22"/>
          <w:szCs w:val="22"/>
        </w:rPr>
        <w:t xml:space="preserve"> </w:t>
      </w:r>
      <w:r w:rsidR="00BD7AB4" w:rsidRPr="008D7391">
        <w:rPr>
          <w:sz w:val="22"/>
          <w:szCs w:val="22"/>
        </w:rPr>
        <w:t xml:space="preserve">В  Омское  </w:t>
      </w:r>
      <w:r w:rsidR="008C2BD5" w:rsidRPr="008D7391">
        <w:rPr>
          <w:sz w:val="22"/>
          <w:szCs w:val="22"/>
        </w:rPr>
        <w:t xml:space="preserve">УФАС  России  поступила жалоба </w:t>
      </w:r>
      <w:r w:rsidR="00EE35ED" w:rsidRPr="008D7391">
        <w:rPr>
          <w:sz w:val="22"/>
          <w:szCs w:val="22"/>
        </w:rPr>
        <w:t>З</w:t>
      </w:r>
      <w:r w:rsidR="00BD7AB4" w:rsidRPr="008D7391">
        <w:rPr>
          <w:sz w:val="22"/>
          <w:szCs w:val="22"/>
        </w:rPr>
        <w:t xml:space="preserve">аявителя (вх. № </w:t>
      </w:r>
      <w:r w:rsidR="00797A02" w:rsidRPr="008D7391">
        <w:rPr>
          <w:sz w:val="22"/>
          <w:szCs w:val="22"/>
        </w:rPr>
        <w:t>2213</w:t>
      </w:r>
      <w:r w:rsidR="00BD7AB4" w:rsidRPr="008D7391">
        <w:rPr>
          <w:sz w:val="22"/>
          <w:szCs w:val="22"/>
        </w:rPr>
        <w:t xml:space="preserve"> от </w:t>
      </w:r>
      <w:r w:rsidR="00797A02" w:rsidRPr="008D7391">
        <w:rPr>
          <w:sz w:val="22"/>
          <w:szCs w:val="22"/>
        </w:rPr>
        <w:t>15</w:t>
      </w:r>
      <w:r w:rsidR="00BD7AB4" w:rsidRPr="008D7391">
        <w:rPr>
          <w:sz w:val="22"/>
          <w:szCs w:val="22"/>
        </w:rPr>
        <w:t>.</w:t>
      </w:r>
      <w:r w:rsidR="008678AC" w:rsidRPr="008D7391">
        <w:rPr>
          <w:sz w:val="22"/>
          <w:szCs w:val="22"/>
        </w:rPr>
        <w:t>0</w:t>
      </w:r>
      <w:r w:rsidR="00A6434A" w:rsidRPr="008D7391">
        <w:rPr>
          <w:sz w:val="22"/>
          <w:szCs w:val="22"/>
        </w:rPr>
        <w:t>3</w:t>
      </w:r>
      <w:r w:rsidR="00BD7AB4" w:rsidRPr="008D7391">
        <w:rPr>
          <w:sz w:val="22"/>
          <w:szCs w:val="22"/>
        </w:rPr>
        <w:t>.201</w:t>
      </w:r>
      <w:r w:rsidR="008678AC" w:rsidRPr="008D7391">
        <w:rPr>
          <w:sz w:val="22"/>
          <w:szCs w:val="22"/>
        </w:rPr>
        <w:t>3</w:t>
      </w:r>
      <w:r w:rsidR="00BD7AB4" w:rsidRPr="008D7391">
        <w:rPr>
          <w:sz w:val="22"/>
          <w:szCs w:val="22"/>
        </w:rPr>
        <w:t>)</w:t>
      </w:r>
      <w:r w:rsidR="00C14F72" w:rsidRPr="008D7391">
        <w:rPr>
          <w:sz w:val="22"/>
          <w:szCs w:val="22"/>
        </w:rPr>
        <w:t xml:space="preserve">, в которой указано, </w:t>
      </w:r>
      <w:r w:rsidR="00F1788C" w:rsidRPr="008D7391">
        <w:rPr>
          <w:sz w:val="22"/>
          <w:szCs w:val="22"/>
        </w:rPr>
        <w:t xml:space="preserve">что </w:t>
      </w:r>
      <w:r w:rsidR="00640CEC" w:rsidRPr="008D7391">
        <w:rPr>
          <w:sz w:val="22"/>
          <w:szCs w:val="22"/>
        </w:rPr>
        <w:t>единая комиссия</w:t>
      </w:r>
      <w:r w:rsidR="006E3E23" w:rsidRPr="008D7391">
        <w:rPr>
          <w:sz w:val="22"/>
          <w:szCs w:val="22"/>
        </w:rPr>
        <w:t xml:space="preserve"> </w:t>
      </w:r>
      <w:r w:rsidR="00F1788C" w:rsidRPr="008D7391">
        <w:rPr>
          <w:sz w:val="22"/>
          <w:szCs w:val="22"/>
        </w:rPr>
        <w:t>нарушил</w:t>
      </w:r>
      <w:r w:rsidR="00640CEC" w:rsidRPr="008D7391">
        <w:rPr>
          <w:sz w:val="22"/>
          <w:szCs w:val="22"/>
        </w:rPr>
        <w:t>а</w:t>
      </w:r>
      <w:r w:rsidR="00F1788C" w:rsidRPr="008D7391">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8D7391">
        <w:rPr>
          <w:sz w:val="22"/>
          <w:szCs w:val="22"/>
        </w:rPr>
        <w:t>,</w:t>
      </w:r>
      <w:r w:rsidR="005B31DC" w:rsidRPr="008D7391">
        <w:rPr>
          <w:sz w:val="22"/>
          <w:szCs w:val="22"/>
        </w:rPr>
        <w:t xml:space="preserve"> </w:t>
      </w:r>
      <w:r w:rsidR="005F1809" w:rsidRPr="008D7391">
        <w:rPr>
          <w:sz w:val="22"/>
          <w:szCs w:val="22"/>
        </w:rPr>
        <w:t xml:space="preserve">неправомерно </w:t>
      </w:r>
      <w:r w:rsidR="00797A02" w:rsidRPr="008D7391">
        <w:rPr>
          <w:sz w:val="22"/>
          <w:szCs w:val="22"/>
        </w:rPr>
        <w:t>признав заявку Общества несоответствующей требованиям, установленным документацией об аукциона.</w:t>
      </w:r>
    </w:p>
    <w:p w:rsidR="00EE4ABA" w:rsidRPr="008D7391" w:rsidRDefault="00EE4ABA" w:rsidP="00982E58">
      <w:pPr>
        <w:tabs>
          <w:tab w:val="left" w:pos="-1820"/>
          <w:tab w:val="left" w:pos="700"/>
        </w:tabs>
        <w:ind w:firstLine="709"/>
        <w:jc w:val="both"/>
        <w:rPr>
          <w:b/>
          <w:sz w:val="22"/>
          <w:szCs w:val="22"/>
        </w:rPr>
      </w:pPr>
    </w:p>
    <w:p w:rsidR="001B4359" w:rsidRPr="008D7391" w:rsidRDefault="00134DAA" w:rsidP="00982E58">
      <w:pPr>
        <w:tabs>
          <w:tab w:val="left" w:pos="-1820"/>
          <w:tab w:val="left" w:pos="700"/>
        </w:tabs>
        <w:ind w:firstLine="709"/>
        <w:jc w:val="both"/>
        <w:rPr>
          <w:sz w:val="22"/>
          <w:szCs w:val="22"/>
        </w:rPr>
      </w:pPr>
      <w:r w:rsidRPr="008D7391">
        <w:rPr>
          <w:b/>
          <w:sz w:val="22"/>
          <w:szCs w:val="22"/>
        </w:rPr>
        <w:t xml:space="preserve">2. </w:t>
      </w:r>
      <w:r w:rsidR="001B4359" w:rsidRPr="008D7391">
        <w:rPr>
          <w:sz w:val="22"/>
          <w:szCs w:val="22"/>
        </w:rPr>
        <w:t>На запрос О</w:t>
      </w:r>
      <w:r w:rsidR="008C2BD5" w:rsidRPr="008D7391">
        <w:rPr>
          <w:sz w:val="22"/>
          <w:szCs w:val="22"/>
        </w:rPr>
        <w:t>мского УФАС России (исх. № 03-</w:t>
      </w:r>
      <w:r w:rsidR="00A6434A" w:rsidRPr="008D7391">
        <w:rPr>
          <w:sz w:val="22"/>
          <w:szCs w:val="22"/>
        </w:rPr>
        <w:t>1</w:t>
      </w:r>
      <w:r w:rsidR="00797A02" w:rsidRPr="008D7391">
        <w:rPr>
          <w:sz w:val="22"/>
          <w:szCs w:val="22"/>
        </w:rPr>
        <w:t>565</w:t>
      </w:r>
      <w:r w:rsidR="008C2BD5" w:rsidRPr="008D7391">
        <w:rPr>
          <w:sz w:val="22"/>
          <w:szCs w:val="22"/>
        </w:rPr>
        <w:t xml:space="preserve"> от </w:t>
      </w:r>
      <w:r w:rsidR="00797A02" w:rsidRPr="008D7391">
        <w:rPr>
          <w:sz w:val="22"/>
          <w:szCs w:val="22"/>
        </w:rPr>
        <w:t>15</w:t>
      </w:r>
      <w:r w:rsidR="008C2BD5" w:rsidRPr="008D7391">
        <w:rPr>
          <w:sz w:val="22"/>
          <w:szCs w:val="22"/>
        </w:rPr>
        <w:t>.</w:t>
      </w:r>
      <w:r w:rsidR="00BB3BF6" w:rsidRPr="008D7391">
        <w:rPr>
          <w:sz w:val="22"/>
          <w:szCs w:val="22"/>
        </w:rPr>
        <w:t>0</w:t>
      </w:r>
      <w:r w:rsidR="00C74A91" w:rsidRPr="008D7391">
        <w:rPr>
          <w:sz w:val="22"/>
          <w:szCs w:val="22"/>
        </w:rPr>
        <w:t>3</w:t>
      </w:r>
      <w:r w:rsidR="001B4359" w:rsidRPr="008D7391">
        <w:rPr>
          <w:sz w:val="22"/>
          <w:szCs w:val="22"/>
        </w:rPr>
        <w:t>.201</w:t>
      </w:r>
      <w:r w:rsidR="00BB3BF6" w:rsidRPr="008D7391">
        <w:rPr>
          <w:sz w:val="22"/>
          <w:szCs w:val="22"/>
        </w:rPr>
        <w:t>3</w:t>
      </w:r>
      <w:r w:rsidR="001B4359" w:rsidRPr="008D7391">
        <w:rPr>
          <w:sz w:val="22"/>
          <w:szCs w:val="22"/>
        </w:rPr>
        <w:t xml:space="preserve">) </w:t>
      </w:r>
      <w:r w:rsidR="00A6434A" w:rsidRPr="008D7391">
        <w:rPr>
          <w:sz w:val="22"/>
          <w:szCs w:val="22"/>
        </w:rPr>
        <w:t>Заказчиком</w:t>
      </w:r>
      <w:r w:rsidR="001B4359" w:rsidRPr="008D7391">
        <w:rPr>
          <w:sz w:val="22"/>
          <w:szCs w:val="22"/>
        </w:rPr>
        <w:t xml:space="preserve"> были представлены мате</w:t>
      </w:r>
      <w:r w:rsidR="008E608D" w:rsidRPr="008D7391">
        <w:rPr>
          <w:sz w:val="22"/>
          <w:szCs w:val="22"/>
        </w:rPr>
        <w:t xml:space="preserve">риалы открытого </w:t>
      </w:r>
      <w:r w:rsidR="004F5C0D" w:rsidRPr="008D7391">
        <w:rPr>
          <w:sz w:val="22"/>
          <w:szCs w:val="22"/>
        </w:rPr>
        <w:t>аукцион</w:t>
      </w:r>
      <w:r w:rsidR="00C84231" w:rsidRPr="008D7391">
        <w:rPr>
          <w:sz w:val="22"/>
          <w:szCs w:val="22"/>
        </w:rPr>
        <w:t>а</w:t>
      </w:r>
      <w:r w:rsidR="006E3E23" w:rsidRPr="008D7391">
        <w:rPr>
          <w:sz w:val="22"/>
          <w:szCs w:val="22"/>
        </w:rPr>
        <w:t xml:space="preserve"> (вх. № </w:t>
      </w:r>
      <w:r w:rsidR="00797A02" w:rsidRPr="008D7391">
        <w:rPr>
          <w:sz w:val="22"/>
          <w:szCs w:val="22"/>
        </w:rPr>
        <w:t>2325</w:t>
      </w:r>
      <w:r w:rsidR="000A21C2" w:rsidRPr="008D7391">
        <w:rPr>
          <w:sz w:val="22"/>
          <w:szCs w:val="22"/>
        </w:rPr>
        <w:t xml:space="preserve"> от </w:t>
      </w:r>
      <w:r w:rsidR="00A6434A" w:rsidRPr="008D7391">
        <w:rPr>
          <w:sz w:val="22"/>
          <w:szCs w:val="22"/>
        </w:rPr>
        <w:t>1</w:t>
      </w:r>
      <w:r w:rsidR="00797A02" w:rsidRPr="008D7391">
        <w:rPr>
          <w:sz w:val="22"/>
          <w:szCs w:val="22"/>
        </w:rPr>
        <w:t>8</w:t>
      </w:r>
      <w:r w:rsidR="000A21C2" w:rsidRPr="008D7391">
        <w:rPr>
          <w:sz w:val="22"/>
          <w:szCs w:val="22"/>
        </w:rPr>
        <w:t>.</w:t>
      </w:r>
      <w:r w:rsidR="00BB3BF6" w:rsidRPr="008D7391">
        <w:rPr>
          <w:sz w:val="22"/>
          <w:szCs w:val="22"/>
        </w:rPr>
        <w:t>0</w:t>
      </w:r>
      <w:r w:rsidR="00C74A91" w:rsidRPr="008D7391">
        <w:rPr>
          <w:sz w:val="22"/>
          <w:szCs w:val="22"/>
        </w:rPr>
        <w:t>3</w:t>
      </w:r>
      <w:r w:rsidR="000A21C2" w:rsidRPr="008D7391">
        <w:rPr>
          <w:sz w:val="22"/>
          <w:szCs w:val="22"/>
        </w:rPr>
        <w:t>.201</w:t>
      </w:r>
      <w:r w:rsidR="00BB3BF6" w:rsidRPr="008D7391">
        <w:rPr>
          <w:sz w:val="22"/>
          <w:szCs w:val="22"/>
        </w:rPr>
        <w:t>3</w:t>
      </w:r>
      <w:r w:rsidR="000A21C2" w:rsidRPr="008D7391">
        <w:rPr>
          <w:sz w:val="22"/>
          <w:szCs w:val="22"/>
        </w:rPr>
        <w:t>)</w:t>
      </w:r>
      <w:r w:rsidR="00D00CC5" w:rsidRPr="008D7391">
        <w:rPr>
          <w:sz w:val="22"/>
          <w:szCs w:val="22"/>
        </w:rPr>
        <w:t>.</w:t>
      </w:r>
    </w:p>
    <w:p w:rsidR="001B4359" w:rsidRPr="008D7391" w:rsidRDefault="001B4359" w:rsidP="008D358A">
      <w:pPr>
        <w:autoSpaceDE w:val="0"/>
        <w:autoSpaceDN w:val="0"/>
        <w:adjustRightInd w:val="0"/>
        <w:ind w:firstLine="709"/>
        <w:jc w:val="both"/>
        <w:outlineLvl w:val="1"/>
        <w:rPr>
          <w:sz w:val="22"/>
          <w:szCs w:val="22"/>
        </w:rPr>
      </w:pPr>
      <w:r w:rsidRPr="008D7391">
        <w:rPr>
          <w:sz w:val="22"/>
          <w:szCs w:val="22"/>
        </w:rPr>
        <w:t xml:space="preserve">Из представленных материалов открытого </w:t>
      </w:r>
      <w:r w:rsidR="004F5C0D" w:rsidRPr="008D7391">
        <w:rPr>
          <w:sz w:val="22"/>
          <w:szCs w:val="22"/>
        </w:rPr>
        <w:t>аукцион</w:t>
      </w:r>
      <w:r w:rsidRPr="008D7391">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8D7391">
        <w:rPr>
          <w:sz w:val="22"/>
          <w:szCs w:val="22"/>
          <w:lang w:val="en-US"/>
        </w:rPr>
        <w:t>www</w:t>
      </w:r>
      <w:r w:rsidRPr="008D7391">
        <w:rPr>
          <w:sz w:val="22"/>
          <w:szCs w:val="22"/>
        </w:rPr>
        <w:t>.</w:t>
      </w:r>
      <w:r w:rsidRPr="008D7391">
        <w:rPr>
          <w:sz w:val="22"/>
          <w:szCs w:val="22"/>
          <w:lang w:val="en-US"/>
        </w:rPr>
        <w:t>zakupki</w:t>
      </w:r>
      <w:r w:rsidRPr="008D7391">
        <w:rPr>
          <w:sz w:val="22"/>
          <w:szCs w:val="22"/>
        </w:rPr>
        <w:t>.</w:t>
      </w:r>
      <w:r w:rsidRPr="008D7391">
        <w:rPr>
          <w:sz w:val="22"/>
          <w:szCs w:val="22"/>
          <w:lang w:val="en-US"/>
        </w:rPr>
        <w:t>gov</w:t>
      </w:r>
      <w:r w:rsidRPr="008D7391">
        <w:rPr>
          <w:sz w:val="22"/>
          <w:szCs w:val="22"/>
        </w:rPr>
        <w:t>.</w:t>
      </w:r>
      <w:r w:rsidRPr="008D7391">
        <w:rPr>
          <w:sz w:val="22"/>
          <w:szCs w:val="22"/>
          <w:lang w:val="en-US"/>
        </w:rPr>
        <w:t>ru</w:t>
      </w:r>
      <w:r w:rsidRPr="008D7391">
        <w:rPr>
          <w:sz w:val="22"/>
          <w:szCs w:val="22"/>
        </w:rPr>
        <w:t xml:space="preserve"> (далее - официальный сайт) следует, что </w:t>
      </w:r>
      <w:r w:rsidR="00797A02" w:rsidRPr="008D7391">
        <w:rPr>
          <w:sz w:val="22"/>
          <w:szCs w:val="22"/>
        </w:rPr>
        <w:t>22</w:t>
      </w:r>
      <w:r w:rsidR="00004E80" w:rsidRPr="008D7391">
        <w:rPr>
          <w:sz w:val="22"/>
          <w:szCs w:val="22"/>
        </w:rPr>
        <w:t>.</w:t>
      </w:r>
      <w:r w:rsidR="00DB1469" w:rsidRPr="008D7391">
        <w:rPr>
          <w:sz w:val="22"/>
          <w:szCs w:val="22"/>
        </w:rPr>
        <w:t>0</w:t>
      </w:r>
      <w:r w:rsidR="00C74A91" w:rsidRPr="008D7391">
        <w:rPr>
          <w:sz w:val="22"/>
          <w:szCs w:val="22"/>
        </w:rPr>
        <w:t>2</w:t>
      </w:r>
      <w:r w:rsidR="00004E80" w:rsidRPr="008D7391">
        <w:rPr>
          <w:sz w:val="22"/>
          <w:szCs w:val="22"/>
        </w:rPr>
        <w:t>.</w:t>
      </w:r>
      <w:r w:rsidR="008C2BD5" w:rsidRPr="008D7391">
        <w:rPr>
          <w:sz w:val="22"/>
          <w:szCs w:val="22"/>
        </w:rPr>
        <w:t>201</w:t>
      </w:r>
      <w:r w:rsidR="00DB1469" w:rsidRPr="008D7391">
        <w:rPr>
          <w:sz w:val="22"/>
          <w:szCs w:val="22"/>
        </w:rPr>
        <w:t>3</w:t>
      </w:r>
      <w:r w:rsidR="008C2BD5" w:rsidRPr="008D7391">
        <w:rPr>
          <w:sz w:val="22"/>
          <w:szCs w:val="22"/>
        </w:rPr>
        <w:t xml:space="preserve"> на указанном сайте </w:t>
      </w:r>
      <w:r w:rsidR="00A6434A" w:rsidRPr="008D7391">
        <w:rPr>
          <w:sz w:val="22"/>
          <w:szCs w:val="22"/>
        </w:rPr>
        <w:t>Заказчиком</w:t>
      </w:r>
      <w:r w:rsidRPr="008D7391">
        <w:rPr>
          <w:sz w:val="22"/>
          <w:szCs w:val="22"/>
        </w:rPr>
        <w:t xml:space="preserve"> разме</w:t>
      </w:r>
      <w:r w:rsidR="00395AB8" w:rsidRPr="008D7391">
        <w:rPr>
          <w:sz w:val="22"/>
          <w:szCs w:val="22"/>
        </w:rPr>
        <w:t>щено</w:t>
      </w:r>
      <w:r w:rsidRPr="008D7391">
        <w:rPr>
          <w:sz w:val="22"/>
          <w:szCs w:val="22"/>
        </w:rPr>
        <w:t xml:space="preserve"> извещение о проведении открытого </w:t>
      </w:r>
      <w:r w:rsidR="004F5C0D" w:rsidRPr="008D7391">
        <w:rPr>
          <w:sz w:val="22"/>
          <w:szCs w:val="22"/>
        </w:rPr>
        <w:t>аукцион</w:t>
      </w:r>
      <w:r w:rsidRPr="008D7391">
        <w:rPr>
          <w:sz w:val="22"/>
          <w:szCs w:val="22"/>
        </w:rPr>
        <w:t>а и документаци</w:t>
      </w:r>
      <w:r w:rsidR="00A6434A" w:rsidRPr="008D7391">
        <w:rPr>
          <w:sz w:val="22"/>
          <w:szCs w:val="22"/>
        </w:rPr>
        <w:t>я</w:t>
      </w:r>
      <w:r w:rsidR="00DB1469" w:rsidRPr="008D7391">
        <w:rPr>
          <w:sz w:val="22"/>
          <w:szCs w:val="22"/>
        </w:rPr>
        <w:t xml:space="preserve"> об аукционе</w:t>
      </w:r>
      <w:r w:rsidR="00395AB8" w:rsidRPr="008D7391">
        <w:rPr>
          <w:sz w:val="22"/>
          <w:szCs w:val="22"/>
        </w:rPr>
        <w:t xml:space="preserve"> с</w:t>
      </w:r>
      <w:r w:rsidR="00A0493B" w:rsidRPr="008D7391">
        <w:rPr>
          <w:sz w:val="22"/>
          <w:szCs w:val="22"/>
        </w:rPr>
        <w:t xml:space="preserve"> начальн</w:t>
      </w:r>
      <w:r w:rsidR="00395AB8" w:rsidRPr="008D7391">
        <w:rPr>
          <w:sz w:val="22"/>
          <w:szCs w:val="22"/>
        </w:rPr>
        <w:t>ой</w:t>
      </w:r>
      <w:r w:rsidR="00A0493B" w:rsidRPr="008D7391">
        <w:rPr>
          <w:sz w:val="22"/>
          <w:szCs w:val="22"/>
        </w:rPr>
        <w:t xml:space="preserve"> (максимальн</w:t>
      </w:r>
      <w:r w:rsidR="00395AB8" w:rsidRPr="008D7391">
        <w:rPr>
          <w:sz w:val="22"/>
          <w:szCs w:val="22"/>
        </w:rPr>
        <w:t>ой</w:t>
      </w:r>
      <w:r w:rsidR="00A0493B" w:rsidRPr="008D7391">
        <w:rPr>
          <w:sz w:val="22"/>
          <w:szCs w:val="22"/>
        </w:rPr>
        <w:t>) цен</w:t>
      </w:r>
      <w:r w:rsidR="00395AB8" w:rsidRPr="008D7391">
        <w:rPr>
          <w:sz w:val="22"/>
          <w:szCs w:val="22"/>
        </w:rPr>
        <w:t>ой</w:t>
      </w:r>
      <w:r w:rsidR="00A0493B" w:rsidRPr="008D7391">
        <w:rPr>
          <w:sz w:val="22"/>
          <w:szCs w:val="22"/>
        </w:rPr>
        <w:t xml:space="preserve"> </w:t>
      </w:r>
      <w:r w:rsidR="00797A02" w:rsidRPr="008D7391">
        <w:rPr>
          <w:sz w:val="22"/>
          <w:szCs w:val="22"/>
        </w:rPr>
        <w:t>государственного контракта</w:t>
      </w:r>
      <w:r w:rsidR="00BB3BF6" w:rsidRPr="008D7391">
        <w:rPr>
          <w:sz w:val="22"/>
          <w:szCs w:val="22"/>
        </w:rPr>
        <w:t xml:space="preserve"> </w:t>
      </w:r>
      <w:r w:rsidR="00797A02" w:rsidRPr="008D7391">
        <w:rPr>
          <w:sz w:val="22"/>
          <w:szCs w:val="22"/>
        </w:rPr>
        <w:t>532867</w:t>
      </w:r>
      <w:r w:rsidR="00A0493B" w:rsidRPr="008D7391">
        <w:rPr>
          <w:sz w:val="22"/>
          <w:szCs w:val="22"/>
        </w:rPr>
        <w:t xml:space="preserve"> руб</w:t>
      </w:r>
      <w:r w:rsidR="00797A02" w:rsidRPr="008D7391">
        <w:rPr>
          <w:sz w:val="22"/>
          <w:szCs w:val="22"/>
        </w:rPr>
        <w:t>лей</w:t>
      </w:r>
      <w:r w:rsidR="00A0493B" w:rsidRPr="008D7391">
        <w:rPr>
          <w:sz w:val="22"/>
          <w:szCs w:val="22"/>
        </w:rPr>
        <w:t>.</w:t>
      </w:r>
    </w:p>
    <w:p w:rsidR="008D358A" w:rsidRPr="008D7391" w:rsidRDefault="008D358A" w:rsidP="008D358A">
      <w:pPr>
        <w:pStyle w:val="ae"/>
        <w:tabs>
          <w:tab w:val="left" w:pos="851"/>
        </w:tabs>
        <w:spacing w:after="0"/>
        <w:ind w:left="0" w:firstLine="709"/>
        <w:jc w:val="both"/>
        <w:rPr>
          <w:sz w:val="22"/>
          <w:szCs w:val="22"/>
        </w:rPr>
      </w:pPr>
      <w:r w:rsidRPr="008D7391">
        <w:rPr>
          <w:sz w:val="22"/>
          <w:szCs w:val="22"/>
        </w:rPr>
        <w:t xml:space="preserve">Из протокола рассмотрения первых частей заявок на участие в аукционе от </w:t>
      </w:r>
      <w:r w:rsidR="00A6434A" w:rsidRPr="008D7391">
        <w:rPr>
          <w:sz w:val="22"/>
          <w:szCs w:val="22"/>
        </w:rPr>
        <w:t>0</w:t>
      </w:r>
      <w:r w:rsidR="00797A02" w:rsidRPr="008D7391">
        <w:rPr>
          <w:sz w:val="22"/>
          <w:szCs w:val="22"/>
        </w:rPr>
        <w:t>4</w:t>
      </w:r>
      <w:r w:rsidRPr="008D7391">
        <w:rPr>
          <w:sz w:val="22"/>
          <w:szCs w:val="22"/>
        </w:rPr>
        <w:t>.0</w:t>
      </w:r>
      <w:r w:rsidR="00A6434A" w:rsidRPr="008D7391">
        <w:rPr>
          <w:sz w:val="22"/>
          <w:szCs w:val="22"/>
        </w:rPr>
        <w:t>3</w:t>
      </w:r>
      <w:r w:rsidRPr="008D7391">
        <w:rPr>
          <w:sz w:val="22"/>
          <w:szCs w:val="22"/>
        </w:rPr>
        <w:t xml:space="preserve">.2013 следует, что поступило </w:t>
      </w:r>
      <w:r w:rsidR="00797A02" w:rsidRPr="008D7391">
        <w:rPr>
          <w:sz w:val="22"/>
          <w:szCs w:val="22"/>
        </w:rPr>
        <w:t>две</w:t>
      </w:r>
      <w:r w:rsidR="00A6434A" w:rsidRPr="008D7391">
        <w:rPr>
          <w:sz w:val="22"/>
          <w:szCs w:val="22"/>
        </w:rPr>
        <w:t>надцать</w:t>
      </w:r>
      <w:r w:rsidRPr="008D7391">
        <w:rPr>
          <w:sz w:val="22"/>
          <w:szCs w:val="22"/>
        </w:rPr>
        <w:t xml:space="preserve"> заяв</w:t>
      </w:r>
      <w:r w:rsidR="00A6434A" w:rsidRPr="008D7391">
        <w:rPr>
          <w:sz w:val="22"/>
          <w:szCs w:val="22"/>
        </w:rPr>
        <w:t>ок</w:t>
      </w:r>
      <w:r w:rsidRPr="008D7391">
        <w:rPr>
          <w:sz w:val="22"/>
          <w:szCs w:val="22"/>
        </w:rPr>
        <w:t xml:space="preserve"> на участие в аукционе, </w:t>
      </w:r>
      <w:r w:rsidR="00797A02" w:rsidRPr="008D7391">
        <w:rPr>
          <w:sz w:val="22"/>
          <w:szCs w:val="22"/>
        </w:rPr>
        <w:t>трем</w:t>
      </w:r>
      <w:r w:rsidRPr="008D7391">
        <w:rPr>
          <w:sz w:val="22"/>
          <w:szCs w:val="22"/>
        </w:rPr>
        <w:t xml:space="preserve"> участник</w:t>
      </w:r>
      <w:r w:rsidR="00A6434A" w:rsidRPr="008D7391">
        <w:rPr>
          <w:sz w:val="22"/>
          <w:szCs w:val="22"/>
        </w:rPr>
        <w:t>ам</w:t>
      </w:r>
      <w:r w:rsidRPr="008D7391">
        <w:rPr>
          <w:sz w:val="22"/>
          <w:szCs w:val="22"/>
        </w:rPr>
        <w:t xml:space="preserve"> размещения заказа </w:t>
      </w:r>
      <w:r w:rsidR="00A6434A" w:rsidRPr="008D7391">
        <w:rPr>
          <w:sz w:val="22"/>
          <w:szCs w:val="22"/>
        </w:rPr>
        <w:t xml:space="preserve">отказано в </w:t>
      </w:r>
      <w:r w:rsidRPr="008D7391">
        <w:rPr>
          <w:sz w:val="22"/>
          <w:szCs w:val="22"/>
        </w:rPr>
        <w:t>допу</w:t>
      </w:r>
      <w:r w:rsidR="00A6434A" w:rsidRPr="008D7391">
        <w:rPr>
          <w:sz w:val="22"/>
          <w:szCs w:val="22"/>
        </w:rPr>
        <w:t xml:space="preserve">ске к участию в </w:t>
      </w:r>
      <w:r w:rsidR="00797A02" w:rsidRPr="008D7391">
        <w:rPr>
          <w:sz w:val="22"/>
          <w:szCs w:val="22"/>
        </w:rPr>
        <w:t>аукционе.</w:t>
      </w:r>
    </w:p>
    <w:p w:rsidR="008D358A" w:rsidRPr="008D7391" w:rsidRDefault="008D358A" w:rsidP="008D358A">
      <w:pPr>
        <w:pStyle w:val="ae"/>
        <w:tabs>
          <w:tab w:val="left" w:pos="851"/>
        </w:tabs>
        <w:spacing w:after="0"/>
        <w:ind w:left="0" w:firstLine="709"/>
        <w:jc w:val="both"/>
        <w:rPr>
          <w:sz w:val="22"/>
          <w:szCs w:val="22"/>
        </w:rPr>
      </w:pPr>
      <w:r w:rsidRPr="008D7391">
        <w:rPr>
          <w:sz w:val="22"/>
          <w:szCs w:val="22"/>
        </w:rPr>
        <w:t xml:space="preserve">В соответствии с протоколом проведения аукциона от </w:t>
      </w:r>
      <w:r w:rsidR="00A6434A" w:rsidRPr="008D7391">
        <w:rPr>
          <w:sz w:val="22"/>
          <w:szCs w:val="22"/>
        </w:rPr>
        <w:t>0</w:t>
      </w:r>
      <w:r w:rsidR="00797A02" w:rsidRPr="008D7391">
        <w:rPr>
          <w:sz w:val="22"/>
          <w:szCs w:val="22"/>
        </w:rPr>
        <w:t>7</w:t>
      </w:r>
      <w:r w:rsidRPr="008D7391">
        <w:rPr>
          <w:sz w:val="22"/>
          <w:szCs w:val="22"/>
        </w:rPr>
        <w:t>.0</w:t>
      </w:r>
      <w:r w:rsidR="00A6434A" w:rsidRPr="008D7391">
        <w:rPr>
          <w:sz w:val="22"/>
          <w:szCs w:val="22"/>
        </w:rPr>
        <w:t>3</w:t>
      </w:r>
      <w:r w:rsidRPr="008D7391">
        <w:rPr>
          <w:sz w:val="22"/>
          <w:szCs w:val="22"/>
        </w:rPr>
        <w:t xml:space="preserve">.2013 </w:t>
      </w:r>
      <w:r w:rsidR="00797A02" w:rsidRPr="008D7391">
        <w:rPr>
          <w:sz w:val="22"/>
          <w:szCs w:val="22"/>
        </w:rPr>
        <w:t>семь</w:t>
      </w:r>
      <w:r w:rsidRPr="008D7391">
        <w:rPr>
          <w:sz w:val="22"/>
          <w:szCs w:val="22"/>
        </w:rPr>
        <w:t xml:space="preserve"> участник</w:t>
      </w:r>
      <w:r w:rsidR="00797A02" w:rsidRPr="008D7391">
        <w:rPr>
          <w:sz w:val="22"/>
          <w:szCs w:val="22"/>
        </w:rPr>
        <w:t>ов</w:t>
      </w:r>
      <w:r w:rsidRPr="008D7391">
        <w:rPr>
          <w:sz w:val="22"/>
          <w:szCs w:val="22"/>
        </w:rPr>
        <w:t xml:space="preserve"> размещения заказа приняли участие в аукционе, наименьшую цену </w:t>
      </w:r>
      <w:r w:rsidR="00797A02" w:rsidRPr="008D7391">
        <w:rPr>
          <w:sz w:val="22"/>
          <w:szCs w:val="22"/>
        </w:rPr>
        <w:t>318629,22</w:t>
      </w:r>
      <w:r w:rsidRPr="008D7391">
        <w:rPr>
          <w:sz w:val="22"/>
          <w:szCs w:val="22"/>
        </w:rPr>
        <w:t xml:space="preserve"> рублей предложил участник </w:t>
      </w:r>
      <w:r w:rsidR="00A6434A" w:rsidRPr="008D7391">
        <w:rPr>
          <w:sz w:val="22"/>
          <w:szCs w:val="22"/>
        </w:rPr>
        <w:t xml:space="preserve">размещения заказа </w:t>
      </w:r>
      <w:r w:rsidR="00797A02" w:rsidRPr="008D7391">
        <w:rPr>
          <w:sz w:val="22"/>
          <w:szCs w:val="22"/>
        </w:rPr>
        <w:t>№ 3 (Заявитель)</w:t>
      </w:r>
      <w:r w:rsidRPr="008D7391">
        <w:rPr>
          <w:sz w:val="22"/>
          <w:szCs w:val="22"/>
        </w:rPr>
        <w:t>.</w:t>
      </w:r>
    </w:p>
    <w:p w:rsidR="008D358A" w:rsidRPr="008D7391" w:rsidRDefault="008D358A" w:rsidP="008D358A">
      <w:pPr>
        <w:pStyle w:val="a3"/>
        <w:ind w:firstLine="709"/>
        <w:jc w:val="both"/>
        <w:rPr>
          <w:b w:val="0"/>
          <w:sz w:val="22"/>
          <w:szCs w:val="22"/>
        </w:rPr>
      </w:pPr>
      <w:r w:rsidRPr="008D7391">
        <w:rPr>
          <w:b w:val="0"/>
          <w:sz w:val="22"/>
          <w:szCs w:val="22"/>
        </w:rPr>
        <w:t xml:space="preserve">Согласно протоколу подведения итогов аукциона от </w:t>
      </w:r>
      <w:r w:rsidR="00797A02" w:rsidRPr="008D7391">
        <w:rPr>
          <w:b w:val="0"/>
          <w:sz w:val="22"/>
          <w:szCs w:val="22"/>
        </w:rPr>
        <w:t>11</w:t>
      </w:r>
      <w:r w:rsidRPr="008D7391">
        <w:rPr>
          <w:b w:val="0"/>
          <w:sz w:val="22"/>
          <w:szCs w:val="22"/>
        </w:rPr>
        <w:t>.0</w:t>
      </w:r>
      <w:r w:rsidR="00A6434A" w:rsidRPr="008D7391">
        <w:rPr>
          <w:b w:val="0"/>
          <w:sz w:val="22"/>
          <w:szCs w:val="22"/>
        </w:rPr>
        <w:t>3</w:t>
      </w:r>
      <w:r w:rsidRPr="008D7391">
        <w:rPr>
          <w:b w:val="0"/>
          <w:sz w:val="22"/>
          <w:szCs w:val="22"/>
        </w:rPr>
        <w:t>.2013 заявк</w:t>
      </w:r>
      <w:r w:rsidR="00797A02" w:rsidRPr="008D7391">
        <w:rPr>
          <w:b w:val="0"/>
          <w:sz w:val="22"/>
          <w:szCs w:val="22"/>
        </w:rPr>
        <w:t>а Заявителя</w:t>
      </w:r>
      <w:r w:rsidR="00C74A91" w:rsidRPr="008D7391">
        <w:rPr>
          <w:b w:val="0"/>
          <w:sz w:val="22"/>
          <w:szCs w:val="22"/>
        </w:rPr>
        <w:t xml:space="preserve"> признан</w:t>
      </w:r>
      <w:r w:rsidR="00797A02" w:rsidRPr="008D7391">
        <w:rPr>
          <w:b w:val="0"/>
          <w:sz w:val="22"/>
          <w:szCs w:val="22"/>
        </w:rPr>
        <w:t>а</w:t>
      </w:r>
      <w:r w:rsidRPr="008D7391">
        <w:rPr>
          <w:b w:val="0"/>
          <w:sz w:val="22"/>
          <w:szCs w:val="22"/>
        </w:rPr>
        <w:t xml:space="preserve"> </w:t>
      </w:r>
      <w:r w:rsidR="00797A02" w:rsidRPr="008D7391">
        <w:rPr>
          <w:b w:val="0"/>
          <w:sz w:val="22"/>
          <w:szCs w:val="22"/>
        </w:rPr>
        <w:t xml:space="preserve">не </w:t>
      </w:r>
      <w:r w:rsidRPr="008D7391">
        <w:rPr>
          <w:b w:val="0"/>
          <w:sz w:val="22"/>
          <w:szCs w:val="22"/>
        </w:rPr>
        <w:t>соответствующ</w:t>
      </w:r>
      <w:r w:rsidR="00797A02" w:rsidRPr="008D7391">
        <w:rPr>
          <w:b w:val="0"/>
          <w:sz w:val="22"/>
          <w:szCs w:val="22"/>
        </w:rPr>
        <w:t>ей</w:t>
      </w:r>
      <w:r w:rsidRPr="008D7391">
        <w:rPr>
          <w:b w:val="0"/>
          <w:sz w:val="22"/>
          <w:szCs w:val="22"/>
        </w:rPr>
        <w:t xml:space="preserve"> требованиям, установл</w:t>
      </w:r>
      <w:r w:rsidR="00797A02" w:rsidRPr="008D7391">
        <w:rPr>
          <w:b w:val="0"/>
          <w:sz w:val="22"/>
          <w:szCs w:val="22"/>
        </w:rPr>
        <w:t>енным документацией об аукционе, победителем признано ООО «Финити» с предложенной ценой 345272,57 рублей.</w:t>
      </w:r>
    </w:p>
    <w:p w:rsidR="00BA0993" w:rsidRPr="008D7391" w:rsidRDefault="00BA0993" w:rsidP="008D358A">
      <w:pPr>
        <w:autoSpaceDE w:val="0"/>
        <w:autoSpaceDN w:val="0"/>
        <w:adjustRightInd w:val="0"/>
        <w:ind w:firstLine="709"/>
        <w:jc w:val="both"/>
        <w:outlineLvl w:val="0"/>
        <w:rPr>
          <w:sz w:val="22"/>
          <w:szCs w:val="22"/>
        </w:rPr>
      </w:pPr>
    </w:p>
    <w:p w:rsidR="008D358A" w:rsidRPr="008D7391" w:rsidRDefault="008D358A" w:rsidP="000C6316">
      <w:pPr>
        <w:autoSpaceDE w:val="0"/>
        <w:autoSpaceDN w:val="0"/>
        <w:adjustRightInd w:val="0"/>
        <w:ind w:firstLine="709"/>
        <w:jc w:val="both"/>
        <w:outlineLvl w:val="0"/>
        <w:rPr>
          <w:sz w:val="22"/>
          <w:szCs w:val="22"/>
        </w:rPr>
      </w:pPr>
      <w:r w:rsidRPr="008D7391">
        <w:rPr>
          <w:b/>
          <w:sz w:val="22"/>
          <w:szCs w:val="22"/>
        </w:rPr>
        <w:t>3.</w:t>
      </w:r>
      <w:r w:rsidRPr="008D7391">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797A02" w:rsidRPr="008D7391">
        <w:rPr>
          <w:sz w:val="22"/>
          <w:szCs w:val="22"/>
        </w:rPr>
        <w:t>и Комиссия установила следующее.</w:t>
      </w:r>
    </w:p>
    <w:p w:rsidR="000C6316" w:rsidRPr="008D7391" w:rsidRDefault="000C6316" w:rsidP="000C6316">
      <w:pPr>
        <w:widowControl w:val="0"/>
        <w:autoSpaceDE w:val="0"/>
        <w:autoSpaceDN w:val="0"/>
        <w:adjustRightInd w:val="0"/>
        <w:ind w:firstLine="709"/>
        <w:jc w:val="both"/>
        <w:rPr>
          <w:sz w:val="22"/>
          <w:szCs w:val="22"/>
        </w:rPr>
      </w:pPr>
      <w:r w:rsidRPr="008D7391">
        <w:rPr>
          <w:sz w:val="22"/>
          <w:szCs w:val="22"/>
        </w:rPr>
        <w:t>Частью 6 статьи 41.11 Федерального закона «О размещении заказов» установлено, что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0C6316" w:rsidRPr="008D7391" w:rsidRDefault="000C6316" w:rsidP="000C6316">
      <w:pPr>
        <w:widowControl w:val="0"/>
        <w:autoSpaceDE w:val="0"/>
        <w:autoSpaceDN w:val="0"/>
        <w:adjustRightInd w:val="0"/>
        <w:ind w:firstLine="709"/>
        <w:jc w:val="both"/>
        <w:rPr>
          <w:sz w:val="22"/>
          <w:szCs w:val="22"/>
        </w:rPr>
      </w:pPr>
      <w:r w:rsidRPr="008D7391">
        <w:rPr>
          <w:sz w:val="22"/>
          <w:szCs w:val="22"/>
        </w:rPr>
        <w:t xml:space="preserve">1) непредставления документов, определенных </w:t>
      </w:r>
      <w:hyperlink r:id="rId9" w:history="1">
        <w:r w:rsidRPr="008D7391">
          <w:rPr>
            <w:color w:val="0000FF"/>
            <w:sz w:val="22"/>
            <w:szCs w:val="22"/>
          </w:rPr>
          <w:t>частью 6 статьи 41.8</w:t>
        </w:r>
      </w:hyperlink>
      <w:r w:rsidRPr="008D7391">
        <w:rPr>
          <w:sz w:val="22"/>
          <w:szCs w:val="22"/>
        </w:rPr>
        <w:t xml:space="preserve"> настоящего Федерального закона, </w:t>
      </w:r>
      <w:r w:rsidRPr="008D7391">
        <w:rPr>
          <w:b/>
          <w:sz w:val="22"/>
          <w:szCs w:val="22"/>
        </w:rPr>
        <w:t xml:space="preserve">с учетом </w:t>
      </w:r>
      <w:r w:rsidRPr="008D7391">
        <w:rPr>
          <w:b/>
          <w:sz w:val="22"/>
          <w:szCs w:val="22"/>
          <w:u w:val="single"/>
        </w:rPr>
        <w:t>документов</w:t>
      </w:r>
      <w:r w:rsidRPr="008D7391">
        <w:rPr>
          <w:b/>
          <w:sz w:val="22"/>
          <w:szCs w:val="22"/>
        </w:rPr>
        <w:t>, ранее представленных в составе первых частей заявок на участие в открытом аукционе</w:t>
      </w:r>
      <w:r w:rsidRPr="008D7391">
        <w:rPr>
          <w:sz w:val="22"/>
          <w:szCs w:val="22"/>
        </w:rPr>
        <w:t xml:space="preserve">, отсутствия документов, предусмотренных </w:t>
      </w:r>
      <w:hyperlink r:id="rId10" w:history="1">
        <w:r w:rsidRPr="008D7391">
          <w:rPr>
            <w:color w:val="0000FF"/>
            <w:sz w:val="22"/>
            <w:szCs w:val="22"/>
          </w:rPr>
          <w:t>пунктами 1</w:t>
        </w:r>
      </w:hyperlink>
      <w:r w:rsidRPr="008D7391">
        <w:rPr>
          <w:sz w:val="22"/>
          <w:szCs w:val="22"/>
        </w:rPr>
        <w:t xml:space="preserve">, </w:t>
      </w:r>
      <w:hyperlink r:id="rId11" w:history="1">
        <w:r w:rsidRPr="008D7391">
          <w:rPr>
            <w:color w:val="0000FF"/>
            <w:sz w:val="22"/>
            <w:szCs w:val="22"/>
          </w:rPr>
          <w:t>3</w:t>
        </w:r>
      </w:hyperlink>
      <w:r w:rsidRPr="008D7391">
        <w:rPr>
          <w:sz w:val="22"/>
          <w:szCs w:val="22"/>
        </w:rPr>
        <w:t xml:space="preserve"> - </w:t>
      </w:r>
      <w:hyperlink r:id="rId12" w:history="1">
        <w:r w:rsidRPr="008D7391">
          <w:rPr>
            <w:color w:val="0000FF"/>
            <w:sz w:val="22"/>
            <w:szCs w:val="22"/>
          </w:rPr>
          <w:t>5</w:t>
        </w:r>
      </w:hyperlink>
      <w:r w:rsidRPr="008D7391">
        <w:rPr>
          <w:sz w:val="22"/>
          <w:szCs w:val="22"/>
        </w:rPr>
        <w:t xml:space="preserve">, </w:t>
      </w:r>
      <w:hyperlink r:id="rId13" w:history="1">
        <w:r w:rsidRPr="008D7391">
          <w:rPr>
            <w:color w:val="0000FF"/>
            <w:sz w:val="22"/>
            <w:szCs w:val="22"/>
          </w:rPr>
          <w:t>7</w:t>
        </w:r>
      </w:hyperlink>
      <w:r w:rsidRPr="008D7391">
        <w:rPr>
          <w:sz w:val="22"/>
          <w:szCs w:val="22"/>
        </w:rPr>
        <w:t xml:space="preserve"> и </w:t>
      </w:r>
      <w:hyperlink r:id="rId14" w:history="1">
        <w:r w:rsidRPr="008D7391">
          <w:rPr>
            <w:color w:val="0000FF"/>
            <w:sz w:val="22"/>
            <w:szCs w:val="22"/>
          </w:rPr>
          <w:t>8 части 2 статьи 41.4</w:t>
        </w:r>
      </w:hyperlink>
      <w:r w:rsidRPr="008D7391">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5" w:history="1">
        <w:r w:rsidRPr="008D7391">
          <w:rPr>
            <w:color w:val="0000FF"/>
            <w:sz w:val="22"/>
            <w:szCs w:val="22"/>
          </w:rPr>
          <w:t>пунктами 1</w:t>
        </w:r>
      </w:hyperlink>
      <w:r w:rsidRPr="008D7391">
        <w:rPr>
          <w:sz w:val="22"/>
          <w:szCs w:val="22"/>
        </w:rPr>
        <w:t xml:space="preserve">, </w:t>
      </w:r>
      <w:hyperlink r:id="rId16" w:history="1">
        <w:r w:rsidRPr="008D7391">
          <w:rPr>
            <w:color w:val="0000FF"/>
            <w:sz w:val="22"/>
            <w:szCs w:val="22"/>
          </w:rPr>
          <w:t>3</w:t>
        </w:r>
      </w:hyperlink>
      <w:r w:rsidRPr="008D7391">
        <w:rPr>
          <w:sz w:val="22"/>
          <w:szCs w:val="22"/>
        </w:rPr>
        <w:t xml:space="preserve"> - </w:t>
      </w:r>
      <w:hyperlink r:id="rId17" w:history="1">
        <w:r w:rsidRPr="008D7391">
          <w:rPr>
            <w:color w:val="0000FF"/>
            <w:sz w:val="22"/>
            <w:szCs w:val="22"/>
          </w:rPr>
          <w:t>5</w:t>
        </w:r>
      </w:hyperlink>
      <w:r w:rsidRPr="008D7391">
        <w:rPr>
          <w:sz w:val="22"/>
          <w:szCs w:val="22"/>
        </w:rPr>
        <w:t xml:space="preserve">, </w:t>
      </w:r>
      <w:hyperlink r:id="rId18" w:history="1">
        <w:r w:rsidRPr="008D7391">
          <w:rPr>
            <w:color w:val="0000FF"/>
            <w:sz w:val="22"/>
            <w:szCs w:val="22"/>
          </w:rPr>
          <w:t>7</w:t>
        </w:r>
      </w:hyperlink>
      <w:r w:rsidRPr="008D7391">
        <w:rPr>
          <w:sz w:val="22"/>
          <w:szCs w:val="22"/>
        </w:rPr>
        <w:t xml:space="preserve"> и </w:t>
      </w:r>
      <w:hyperlink r:id="rId19" w:history="1">
        <w:r w:rsidRPr="008D7391">
          <w:rPr>
            <w:color w:val="0000FF"/>
            <w:sz w:val="22"/>
            <w:szCs w:val="22"/>
          </w:rPr>
          <w:t>8 части 2 статьи 41.4</w:t>
        </w:r>
      </w:hyperlink>
      <w:r w:rsidRPr="008D7391">
        <w:rPr>
          <w:sz w:val="22"/>
          <w:szCs w:val="22"/>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20" w:history="1">
        <w:r w:rsidRPr="008D7391">
          <w:rPr>
            <w:color w:val="0000FF"/>
            <w:sz w:val="22"/>
            <w:szCs w:val="22"/>
          </w:rPr>
          <w:t>пунктом 4 части 2 статьи 41.4</w:t>
        </w:r>
      </w:hyperlink>
      <w:r w:rsidRPr="008D7391">
        <w:rPr>
          <w:sz w:val="22"/>
          <w:szCs w:val="22"/>
        </w:rPr>
        <w:t xml:space="preserve"> настоящего Федерального закона, более чем за шесть месяцев до даты окончания срока подачи заявок на участие в открытом аукционе;</w:t>
      </w:r>
    </w:p>
    <w:p w:rsidR="000C6316" w:rsidRPr="008D7391" w:rsidRDefault="000C6316" w:rsidP="000C6316">
      <w:pPr>
        <w:widowControl w:val="0"/>
        <w:autoSpaceDE w:val="0"/>
        <w:autoSpaceDN w:val="0"/>
        <w:adjustRightInd w:val="0"/>
        <w:ind w:firstLine="709"/>
        <w:jc w:val="both"/>
        <w:rPr>
          <w:sz w:val="22"/>
          <w:szCs w:val="22"/>
        </w:rPr>
      </w:pPr>
      <w:r w:rsidRPr="008D7391">
        <w:rPr>
          <w:sz w:val="22"/>
          <w:szCs w:val="22"/>
        </w:rPr>
        <w:t xml:space="preserve">2) несоответствия участника размещения заказа требованиям, установленным в соответствии со </w:t>
      </w:r>
      <w:hyperlink r:id="rId21" w:history="1">
        <w:r w:rsidRPr="008D7391">
          <w:rPr>
            <w:color w:val="0000FF"/>
            <w:sz w:val="22"/>
            <w:szCs w:val="22"/>
          </w:rPr>
          <w:t>статьей 11</w:t>
        </w:r>
      </w:hyperlink>
      <w:r w:rsidRPr="008D7391">
        <w:rPr>
          <w:sz w:val="22"/>
          <w:szCs w:val="22"/>
        </w:rPr>
        <w:t xml:space="preserve"> настоящего Федерального закона.</w:t>
      </w:r>
    </w:p>
    <w:p w:rsidR="008D7391" w:rsidRPr="008D7391" w:rsidRDefault="000C6316" w:rsidP="008D7391">
      <w:pPr>
        <w:widowControl w:val="0"/>
        <w:autoSpaceDE w:val="0"/>
        <w:autoSpaceDN w:val="0"/>
        <w:adjustRightInd w:val="0"/>
        <w:ind w:firstLine="709"/>
        <w:jc w:val="both"/>
        <w:rPr>
          <w:sz w:val="22"/>
          <w:szCs w:val="22"/>
        </w:rPr>
      </w:pPr>
      <w:r w:rsidRPr="008D7391">
        <w:rPr>
          <w:sz w:val="22"/>
          <w:szCs w:val="22"/>
        </w:rPr>
        <w:t xml:space="preserve">Согласно части 7 настоящей статьи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w:t>
      </w:r>
      <w:hyperlink r:id="rId22" w:history="1">
        <w:r w:rsidRPr="008D7391">
          <w:rPr>
            <w:color w:val="0000FF"/>
            <w:sz w:val="22"/>
            <w:szCs w:val="22"/>
          </w:rPr>
          <w:t>частью 6</w:t>
        </w:r>
      </w:hyperlink>
      <w:r w:rsidRPr="008D7391">
        <w:rPr>
          <w:sz w:val="22"/>
          <w:szCs w:val="22"/>
        </w:rPr>
        <w:t xml:space="preserve"> настоящей статьи, не допускается.</w:t>
      </w:r>
    </w:p>
    <w:p w:rsidR="008D7391" w:rsidRPr="008D7391" w:rsidRDefault="004F5DBA" w:rsidP="008D7391">
      <w:pPr>
        <w:widowControl w:val="0"/>
        <w:autoSpaceDE w:val="0"/>
        <w:autoSpaceDN w:val="0"/>
        <w:adjustRightInd w:val="0"/>
        <w:ind w:firstLine="709"/>
        <w:jc w:val="both"/>
        <w:rPr>
          <w:b/>
          <w:sz w:val="22"/>
          <w:szCs w:val="22"/>
        </w:rPr>
      </w:pPr>
      <w:r w:rsidRPr="008D7391">
        <w:rPr>
          <w:sz w:val="22"/>
          <w:szCs w:val="22"/>
        </w:rPr>
        <w:t xml:space="preserve">В соответствии с требованиями пункта 1 части 3 статьи 41.6 и части 6 статьи 41.8 Федерального закона «О размещении заказов» пункт 21 информационной карты документации об аукционе содержит </w:t>
      </w:r>
      <w:r w:rsidR="008D7391">
        <w:rPr>
          <w:sz w:val="22"/>
          <w:szCs w:val="22"/>
        </w:rPr>
        <w:t>следующие</w:t>
      </w:r>
      <w:r w:rsidRPr="008D7391">
        <w:rPr>
          <w:sz w:val="22"/>
          <w:szCs w:val="22"/>
        </w:rPr>
        <w:t xml:space="preserve"> требования к содержанию второй части заявки на участие в аукционе</w:t>
      </w:r>
      <w:r w:rsidR="008D7391" w:rsidRPr="008D7391">
        <w:rPr>
          <w:sz w:val="22"/>
          <w:szCs w:val="22"/>
        </w:rPr>
        <w:t>:</w:t>
      </w:r>
      <w:r w:rsidR="008D7391" w:rsidRPr="008D7391">
        <w:rPr>
          <w:b/>
          <w:sz w:val="22"/>
          <w:szCs w:val="22"/>
        </w:rPr>
        <w:t xml:space="preserve"> </w:t>
      </w:r>
    </w:p>
    <w:p w:rsidR="008D7391" w:rsidRPr="008D7391" w:rsidRDefault="008D7391" w:rsidP="008D7391">
      <w:pPr>
        <w:widowControl w:val="0"/>
        <w:autoSpaceDE w:val="0"/>
        <w:autoSpaceDN w:val="0"/>
        <w:adjustRightInd w:val="0"/>
        <w:ind w:firstLine="709"/>
        <w:jc w:val="both"/>
        <w:rPr>
          <w:i/>
          <w:sz w:val="22"/>
          <w:szCs w:val="22"/>
        </w:rPr>
      </w:pPr>
      <w:r w:rsidRPr="008D7391">
        <w:rPr>
          <w:b/>
          <w:i/>
          <w:sz w:val="22"/>
          <w:szCs w:val="22"/>
        </w:rPr>
        <w:t>«Вторая часть</w:t>
      </w:r>
      <w:r w:rsidRPr="008D7391">
        <w:rPr>
          <w:i/>
          <w:sz w:val="22"/>
          <w:szCs w:val="22"/>
        </w:rPr>
        <w:t xml:space="preserve"> заявки на участие в аукционе должна содержать следующие </w:t>
      </w:r>
      <w:r w:rsidRPr="008D7391">
        <w:rPr>
          <w:b/>
          <w:i/>
          <w:sz w:val="22"/>
          <w:szCs w:val="22"/>
        </w:rPr>
        <w:t>документы</w:t>
      </w:r>
      <w:r w:rsidRPr="008D7391">
        <w:rPr>
          <w:i/>
          <w:sz w:val="22"/>
          <w:szCs w:val="22"/>
        </w:rPr>
        <w:t xml:space="preserve"> и </w:t>
      </w:r>
      <w:r w:rsidRPr="008D7391">
        <w:rPr>
          <w:b/>
          <w:i/>
          <w:sz w:val="22"/>
          <w:szCs w:val="22"/>
        </w:rPr>
        <w:t>сведения:</w:t>
      </w:r>
    </w:p>
    <w:p w:rsidR="008D7391" w:rsidRPr="008D7391" w:rsidRDefault="008D7391" w:rsidP="008D7391">
      <w:pPr>
        <w:widowControl w:val="0"/>
        <w:autoSpaceDE w:val="0"/>
        <w:autoSpaceDN w:val="0"/>
        <w:adjustRightInd w:val="0"/>
        <w:ind w:firstLine="709"/>
        <w:jc w:val="both"/>
        <w:rPr>
          <w:i/>
          <w:sz w:val="22"/>
          <w:szCs w:val="22"/>
        </w:rPr>
      </w:pPr>
      <w:r w:rsidRPr="008D7391">
        <w:rPr>
          <w:i/>
          <w:sz w:val="22"/>
          <w:szCs w:val="22"/>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w:t>
      </w:r>
      <w:r w:rsidRPr="008D7391">
        <w:rPr>
          <w:i/>
          <w:color w:val="0000FF"/>
          <w:sz w:val="22"/>
          <w:szCs w:val="22"/>
        </w:rPr>
        <w:t>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D7391" w:rsidRPr="008D7391" w:rsidRDefault="008D7391" w:rsidP="008D7391">
      <w:pPr>
        <w:autoSpaceDE w:val="0"/>
        <w:autoSpaceDN w:val="0"/>
        <w:adjustRightInd w:val="0"/>
        <w:ind w:firstLine="720"/>
        <w:jc w:val="both"/>
        <w:rPr>
          <w:i/>
          <w:color w:val="0000FF"/>
          <w:sz w:val="22"/>
          <w:szCs w:val="22"/>
        </w:rPr>
      </w:pPr>
      <w:r w:rsidRPr="008D7391">
        <w:rPr>
          <w:i/>
          <w:sz w:val="22"/>
          <w:szCs w:val="22"/>
        </w:rPr>
        <w:t>2)</w:t>
      </w:r>
      <w:r w:rsidRPr="008D7391">
        <w:rPr>
          <w:b/>
          <w:i/>
          <w:sz w:val="22"/>
          <w:szCs w:val="22"/>
        </w:rPr>
        <w:t xml:space="preserve"> копии документов</w:t>
      </w:r>
      <w:r w:rsidRPr="008D7391">
        <w:rPr>
          <w:i/>
          <w:sz w:val="22"/>
          <w:szCs w:val="22"/>
        </w:rPr>
        <w:t xml:space="preserve">, подтверждающих соответствие участника размещения заказа требованию, установленному пунктом 1 части 1 статьи 11 Федерального закона от 21.07.2005 № 94-ФЗ, в случае, если в соответствии с законодательством Российской Федерации установлены требования к лицам, осуществляющим поставки товаров, которые являются предметом открытого аукциона  в электронной форме, </w:t>
      </w:r>
      <w:r w:rsidRPr="008D7391">
        <w:rPr>
          <w:i/>
          <w:color w:val="0000FF"/>
          <w:sz w:val="22"/>
          <w:szCs w:val="22"/>
        </w:rPr>
        <w:t xml:space="preserve">и такие требования предусмотрены документацией об открытом аукционе в электронной форме. </w:t>
      </w:r>
    </w:p>
    <w:p w:rsidR="008D7391" w:rsidRPr="008D7391" w:rsidRDefault="008D7391" w:rsidP="008D7391">
      <w:pPr>
        <w:autoSpaceDE w:val="0"/>
        <w:autoSpaceDN w:val="0"/>
        <w:adjustRightInd w:val="0"/>
        <w:ind w:firstLine="720"/>
        <w:jc w:val="both"/>
        <w:rPr>
          <w:i/>
          <w:color w:val="0000FF"/>
          <w:sz w:val="22"/>
          <w:szCs w:val="22"/>
        </w:rPr>
      </w:pPr>
      <w:r w:rsidRPr="008D7391">
        <w:rPr>
          <w:i/>
          <w:sz w:val="22"/>
          <w:szCs w:val="22"/>
        </w:rPr>
        <w:t xml:space="preserve">3) </w:t>
      </w:r>
      <w:r w:rsidRPr="008D7391">
        <w:rPr>
          <w:b/>
          <w:i/>
          <w:sz w:val="22"/>
          <w:szCs w:val="22"/>
        </w:rPr>
        <w:t>копии документов</w:t>
      </w:r>
      <w:r w:rsidRPr="008D7391">
        <w:rPr>
          <w:i/>
          <w:sz w:val="22"/>
          <w:szCs w:val="22"/>
        </w:rPr>
        <w:t xml:space="preserve">, подтверждающих соответствие </w:t>
      </w:r>
      <w:r w:rsidRPr="008D7391">
        <w:rPr>
          <w:i/>
          <w:color w:val="0000FF"/>
          <w:sz w:val="22"/>
          <w:szCs w:val="22"/>
        </w:rPr>
        <w:t>товаров</w:t>
      </w:r>
      <w:r w:rsidRPr="008D7391">
        <w:rPr>
          <w:i/>
          <w:sz w:val="22"/>
          <w:szCs w:val="22"/>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w:t>
      </w:r>
      <w:r w:rsidRPr="008D7391">
        <w:rPr>
          <w:i/>
          <w:color w:val="000000"/>
          <w:sz w:val="22"/>
          <w:szCs w:val="22"/>
        </w:rPr>
        <w:t xml:space="preserve"> </w:t>
      </w:r>
      <w:r w:rsidRPr="008D7391">
        <w:rPr>
          <w:i/>
          <w:color w:val="0000FF"/>
          <w:sz w:val="22"/>
          <w:szCs w:val="22"/>
        </w:rPr>
        <w:t>и если предоставление указанных документов предусмотрено документацией об открытом аукционе в электронной форме</w:t>
      </w:r>
      <w:r w:rsidRPr="008D7391">
        <w:rPr>
          <w:i/>
          <w:color w:val="000000"/>
          <w:sz w:val="22"/>
          <w:szCs w:val="22"/>
        </w:rPr>
        <w:t>.</w:t>
      </w:r>
    </w:p>
    <w:p w:rsidR="004F5DBA" w:rsidRPr="008D7391" w:rsidRDefault="008D7391" w:rsidP="008D7391">
      <w:pPr>
        <w:ind w:firstLine="709"/>
        <w:jc w:val="both"/>
        <w:rPr>
          <w:sz w:val="22"/>
          <w:szCs w:val="22"/>
        </w:rPr>
      </w:pPr>
      <w:r w:rsidRPr="008D7391">
        <w:rPr>
          <w:i/>
          <w:sz w:val="22"/>
          <w:szCs w:val="22"/>
        </w:rPr>
        <w:t xml:space="preserve">4) </w:t>
      </w:r>
      <w:r w:rsidRPr="008D7391">
        <w:rPr>
          <w:b/>
          <w:i/>
          <w:sz w:val="22"/>
          <w:szCs w:val="22"/>
        </w:rPr>
        <w:t>решение</w:t>
      </w:r>
      <w:r w:rsidRPr="008D7391">
        <w:rPr>
          <w:i/>
          <w:sz w:val="22"/>
          <w:szCs w:val="22"/>
        </w:rPr>
        <w:t xml:space="preserve"> об одобрении или о совершении крупной сделки либо </w:t>
      </w:r>
      <w:r w:rsidRPr="008D7391">
        <w:rPr>
          <w:b/>
          <w:i/>
          <w:sz w:val="22"/>
          <w:szCs w:val="22"/>
        </w:rPr>
        <w:t>копия</w:t>
      </w:r>
      <w:r w:rsidRPr="008D7391">
        <w:rPr>
          <w:i/>
          <w:sz w:val="22"/>
          <w:szCs w:val="22"/>
        </w:rPr>
        <w:t xml:space="preserve"> такого </w:t>
      </w:r>
      <w:r w:rsidRPr="008D7391">
        <w:rPr>
          <w:b/>
          <w:i/>
          <w:sz w:val="22"/>
          <w:szCs w:val="22"/>
        </w:rPr>
        <w:t>решения</w:t>
      </w:r>
      <w:r w:rsidRPr="008D7391">
        <w:rPr>
          <w:i/>
          <w:sz w:val="22"/>
          <w:szCs w:val="22"/>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w:t>
      </w:r>
      <w:r w:rsidRPr="008D7391">
        <w:rPr>
          <w:i/>
          <w:color w:val="0000FF"/>
          <w:sz w:val="22"/>
          <w:szCs w:val="22"/>
        </w:rPr>
        <w:t>поставки товаров</w:t>
      </w:r>
      <w:r w:rsidRPr="008D7391">
        <w:rPr>
          <w:i/>
          <w:sz w:val="22"/>
          <w:szCs w:val="22"/>
        </w:rPr>
        <w:t xml:space="preserve">, являющихся предметом контракта, или внесение денежных средств в качестве обеспечения заявки на участие в открытом аукционе, </w:t>
      </w:r>
      <w:r w:rsidRPr="008D7391">
        <w:rPr>
          <w:i/>
          <w:color w:val="0000FF"/>
          <w:sz w:val="22"/>
          <w:szCs w:val="22"/>
        </w:rPr>
        <w:t>обеспечения  исполнения контракта</w:t>
      </w:r>
      <w:r w:rsidRPr="008D7391">
        <w:rPr>
          <w:i/>
          <w:sz w:val="22"/>
          <w:szCs w:val="22"/>
        </w:rPr>
        <w:t xml:space="preserve"> являются </w:t>
      </w:r>
      <w:r w:rsidRPr="008D7391">
        <w:rPr>
          <w:i/>
          <w:color w:val="0000FF"/>
          <w:sz w:val="22"/>
          <w:szCs w:val="22"/>
        </w:rPr>
        <w:t>крупной сделкой</w:t>
      </w:r>
      <w:r w:rsidRPr="008D7391">
        <w:rPr>
          <w:i/>
          <w:sz w:val="22"/>
          <w:szCs w:val="22"/>
        </w:rPr>
        <w:t>.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Pr="008D7391">
        <w:rPr>
          <w:sz w:val="22"/>
          <w:szCs w:val="22"/>
        </w:rPr>
        <w:t>.</w:t>
      </w:r>
    </w:p>
    <w:p w:rsidR="004F5DBA" w:rsidRPr="008D7391" w:rsidRDefault="004B1BBD" w:rsidP="004F5DBA">
      <w:pPr>
        <w:ind w:firstLine="709"/>
        <w:jc w:val="both"/>
        <w:rPr>
          <w:sz w:val="22"/>
          <w:szCs w:val="22"/>
        </w:rPr>
      </w:pPr>
      <w:r w:rsidRPr="008D7391">
        <w:rPr>
          <w:sz w:val="22"/>
          <w:szCs w:val="22"/>
        </w:rPr>
        <w:lastRenderedPageBreak/>
        <w:t>Как указано в протоколе подведения итогов аукциона от 11.03.2013 заявка Общества признана несоответствующей требованиям, установленным документацией об аукционе по следующему основанию:</w:t>
      </w:r>
    </w:p>
    <w:p w:rsidR="004F5DBA" w:rsidRPr="008D7391" w:rsidRDefault="004B1BBD" w:rsidP="004F5DBA">
      <w:pPr>
        <w:ind w:firstLine="720"/>
        <w:jc w:val="both"/>
        <w:rPr>
          <w:i/>
          <w:sz w:val="22"/>
          <w:szCs w:val="22"/>
        </w:rPr>
      </w:pPr>
      <w:r w:rsidRPr="008D7391">
        <w:rPr>
          <w:i/>
          <w:sz w:val="22"/>
          <w:szCs w:val="22"/>
        </w:rPr>
        <w:t>«</w:t>
      </w:r>
      <w:r w:rsidR="004F5DBA" w:rsidRPr="008D7391">
        <w:rPr>
          <w:i/>
          <w:sz w:val="22"/>
          <w:szCs w:val="22"/>
        </w:rPr>
        <w:t>Рассмотрев вторую часть заявки с учетом документов, ранее представленных в составе первой части заявки, аукционной комиссией было установлено отсутствие документа, подтверждающего однозначное согласие участника размещения заказа на поставку товара, указание на товарный знак которого содержится в ДА, а именно:</w:t>
      </w:r>
    </w:p>
    <w:p w:rsidR="004F5DBA" w:rsidRPr="008D7391" w:rsidRDefault="004F5DBA" w:rsidP="008D7391">
      <w:pPr>
        <w:ind w:firstLine="720"/>
        <w:jc w:val="both"/>
        <w:rPr>
          <w:i/>
          <w:sz w:val="22"/>
          <w:szCs w:val="22"/>
        </w:rPr>
      </w:pPr>
      <w:r w:rsidRPr="008D7391">
        <w:rPr>
          <w:i/>
          <w:sz w:val="22"/>
          <w:szCs w:val="22"/>
        </w:rPr>
        <w:t>- участником размещения заказа в пункте 2 заявки в строке 1 таблицы предлагается «картридж 108R00796, произведенный под товарным знаком «</w:t>
      </w:r>
      <w:r w:rsidRPr="008D7391">
        <w:rPr>
          <w:i/>
          <w:sz w:val="22"/>
          <w:szCs w:val="22"/>
          <w:lang w:val="en-US"/>
        </w:rPr>
        <w:t>RuTone</w:t>
      </w:r>
      <w:r w:rsidRPr="008D7391">
        <w:rPr>
          <w:i/>
          <w:sz w:val="22"/>
          <w:szCs w:val="22"/>
        </w:rPr>
        <w:t xml:space="preserve">», </w:t>
      </w:r>
      <w:r w:rsidRPr="008D7391">
        <w:rPr>
          <w:i/>
          <w:color w:val="000000"/>
          <w:sz w:val="22"/>
          <w:szCs w:val="22"/>
        </w:rPr>
        <w:t>вместо требуемого «к</w:t>
      </w:r>
      <w:r w:rsidRPr="008D7391">
        <w:rPr>
          <w:i/>
          <w:iCs/>
          <w:sz w:val="22"/>
          <w:szCs w:val="22"/>
        </w:rPr>
        <w:t xml:space="preserve">артридж </w:t>
      </w:r>
      <w:r w:rsidRPr="008D7391">
        <w:rPr>
          <w:i/>
          <w:color w:val="000000"/>
          <w:sz w:val="22"/>
          <w:szCs w:val="22"/>
          <w:lang w:val="en-US"/>
        </w:rPr>
        <w:t>XEROX</w:t>
      </w:r>
      <w:r w:rsidRPr="008D7391">
        <w:rPr>
          <w:i/>
          <w:color w:val="000000"/>
          <w:sz w:val="22"/>
          <w:szCs w:val="22"/>
          <w:vertAlign w:val="superscript"/>
        </w:rPr>
        <w:t>®</w:t>
      </w:r>
      <w:r w:rsidRPr="008D7391">
        <w:rPr>
          <w:i/>
          <w:sz w:val="22"/>
          <w:szCs w:val="22"/>
        </w:rPr>
        <w:t>108R00796</w:t>
      </w:r>
      <w:r w:rsidRPr="008D7391">
        <w:rPr>
          <w:i/>
          <w:color w:val="000000"/>
          <w:sz w:val="22"/>
          <w:szCs w:val="22"/>
        </w:rPr>
        <w:t xml:space="preserve">, </w:t>
      </w:r>
      <w:r w:rsidRPr="008D7391">
        <w:rPr>
          <w:i/>
          <w:sz w:val="22"/>
          <w:szCs w:val="22"/>
        </w:rPr>
        <w:t xml:space="preserve">произведенный под товарным знаком </w:t>
      </w:r>
      <w:r w:rsidRPr="008D7391">
        <w:rPr>
          <w:i/>
          <w:sz w:val="22"/>
          <w:szCs w:val="22"/>
          <w:lang w:val="en-US"/>
        </w:rPr>
        <w:t>XEROX</w:t>
      </w:r>
      <w:r w:rsidRPr="008D7391">
        <w:rPr>
          <w:i/>
          <w:sz w:val="22"/>
          <w:szCs w:val="22"/>
        </w:rPr>
        <w:t>»;</w:t>
      </w:r>
    </w:p>
    <w:p w:rsidR="004F5DBA" w:rsidRPr="008D7391" w:rsidRDefault="004F5DBA" w:rsidP="008D7391">
      <w:pPr>
        <w:ind w:firstLine="709"/>
        <w:jc w:val="both"/>
        <w:rPr>
          <w:i/>
          <w:sz w:val="22"/>
          <w:szCs w:val="22"/>
        </w:rPr>
      </w:pPr>
      <w:r w:rsidRPr="008D7391">
        <w:rPr>
          <w:i/>
          <w:sz w:val="22"/>
          <w:szCs w:val="22"/>
        </w:rPr>
        <w:t>- участником размещения заказа в пункте 2 заявки в строке 2 таблицы предлагается «картридж 106R02183, произведенный под товарным знаком «</w:t>
      </w:r>
      <w:r w:rsidRPr="008D7391">
        <w:rPr>
          <w:i/>
          <w:sz w:val="22"/>
          <w:szCs w:val="22"/>
          <w:lang w:val="en-US"/>
        </w:rPr>
        <w:t>Optic</w:t>
      </w:r>
      <w:r w:rsidRPr="008D7391">
        <w:rPr>
          <w:i/>
          <w:sz w:val="22"/>
          <w:szCs w:val="22"/>
        </w:rPr>
        <w:t>@</w:t>
      </w:r>
      <w:r w:rsidRPr="008D7391">
        <w:rPr>
          <w:i/>
          <w:sz w:val="22"/>
          <w:szCs w:val="22"/>
          <w:lang w:val="en-US"/>
        </w:rPr>
        <w:t>rt</w:t>
      </w:r>
      <w:r w:rsidRPr="008D7391">
        <w:rPr>
          <w:i/>
          <w:sz w:val="22"/>
          <w:szCs w:val="22"/>
        </w:rPr>
        <w:t xml:space="preserve">», </w:t>
      </w:r>
      <w:r w:rsidRPr="008D7391">
        <w:rPr>
          <w:i/>
          <w:color w:val="000000"/>
          <w:sz w:val="22"/>
          <w:szCs w:val="22"/>
        </w:rPr>
        <w:t>вместо требуемого «к</w:t>
      </w:r>
      <w:r w:rsidRPr="008D7391">
        <w:rPr>
          <w:i/>
          <w:iCs/>
          <w:sz w:val="22"/>
          <w:szCs w:val="22"/>
        </w:rPr>
        <w:t xml:space="preserve">артридж </w:t>
      </w:r>
      <w:r w:rsidRPr="008D7391">
        <w:rPr>
          <w:i/>
          <w:color w:val="000000"/>
          <w:sz w:val="22"/>
          <w:szCs w:val="22"/>
          <w:lang w:val="en-US"/>
        </w:rPr>
        <w:t>XEROX</w:t>
      </w:r>
      <w:r w:rsidRPr="008D7391">
        <w:rPr>
          <w:i/>
          <w:color w:val="000000"/>
          <w:sz w:val="22"/>
          <w:szCs w:val="22"/>
          <w:vertAlign w:val="superscript"/>
        </w:rPr>
        <w:t>®</w:t>
      </w:r>
      <w:r w:rsidRPr="008D7391">
        <w:rPr>
          <w:i/>
          <w:sz w:val="22"/>
          <w:szCs w:val="22"/>
        </w:rPr>
        <w:t>106R02183</w:t>
      </w:r>
      <w:r w:rsidRPr="008D7391">
        <w:rPr>
          <w:i/>
          <w:color w:val="000000"/>
          <w:sz w:val="22"/>
          <w:szCs w:val="22"/>
        </w:rPr>
        <w:t xml:space="preserve">, </w:t>
      </w:r>
      <w:r w:rsidRPr="008D7391">
        <w:rPr>
          <w:i/>
          <w:sz w:val="22"/>
          <w:szCs w:val="22"/>
        </w:rPr>
        <w:t xml:space="preserve">произведенный под товарным знаком </w:t>
      </w:r>
      <w:r w:rsidRPr="008D7391">
        <w:rPr>
          <w:i/>
          <w:sz w:val="22"/>
          <w:szCs w:val="22"/>
          <w:lang w:val="en-US"/>
        </w:rPr>
        <w:t>XEROX</w:t>
      </w:r>
      <w:r w:rsidRPr="008D7391">
        <w:rPr>
          <w:i/>
          <w:sz w:val="22"/>
          <w:szCs w:val="22"/>
        </w:rPr>
        <w:t>».</w:t>
      </w:r>
    </w:p>
    <w:p w:rsidR="004B1BBD" w:rsidRPr="008D7391" w:rsidRDefault="004F5DBA" w:rsidP="004F5DBA">
      <w:pPr>
        <w:autoSpaceDE w:val="0"/>
        <w:autoSpaceDN w:val="0"/>
        <w:adjustRightInd w:val="0"/>
        <w:ind w:firstLine="709"/>
        <w:jc w:val="both"/>
        <w:outlineLvl w:val="1"/>
        <w:rPr>
          <w:sz w:val="22"/>
          <w:szCs w:val="22"/>
        </w:rPr>
      </w:pPr>
      <w:r w:rsidRPr="008D7391">
        <w:rPr>
          <w:i/>
          <w:sz w:val="22"/>
          <w:szCs w:val="22"/>
        </w:rPr>
        <w:t xml:space="preserve">(п. 11, 13 раздела </w:t>
      </w:r>
      <w:r w:rsidRPr="008D7391">
        <w:rPr>
          <w:i/>
          <w:sz w:val="22"/>
          <w:szCs w:val="22"/>
          <w:lang w:val="en-US"/>
        </w:rPr>
        <w:t>II</w:t>
      </w:r>
      <w:r w:rsidRPr="008D7391">
        <w:rPr>
          <w:i/>
          <w:sz w:val="22"/>
          <w:szCs w:val="22"/>
        </w:rPr>
        <w:t xml:space="preserve"> ДА, п. 20, 21 ИКА раздела </w:t>
      </w:r>
      <w:r w:rsidRPr="008D7391">
        <w:rPr>
          <w:i/>
          <w:sz w:val="22"/>
          <w:szCs w:val="22"/>
          <w:lang w:val="en-US"/>
        </w:rPr>
        <w:t>III</w:t>
      </w:r>
      <w:r w:rsidRPr="008D7391">
        <w:rPr>
          <w:i/>
          <w:sz w:val="22"/>
          <w:szCs w:val="22"/>
        </w:rPr>
        <w:t xml:space="preserve"> ДА, п. 2 раздела </w:t>
      </w:r>
      <w:r w:rsidRPr="008D7391">
        <w:rPr>
          <w:i/>
          <w:sz w:val="22"/>
          <w:szCs w:val="22"/>
          <w:lang w:val="en-US"/>
        </w:rPr>
        <w:t>IV</w:t>
      </w:r>
      <w:r w:rsidRPr="008D7391">
        <w:rPr>
          <w:i/>
          <w:sz w:val="22"/>
          <w:szCs w:val="22"/>
        </w:rPr>
        <w:t xml:space="preserve"> «Заказ на товар» ДА; пп. «а» п. 1 ч. 4, ч. 6 ст. 41.8, ч. 1, 3, п. 2 ч. 4 ст. 41.9, п. 1 ч. 6 ст. 41.11 Федерального закона № 94-ФЗ от 21.07.2005)»</w:t>
      </w:r>
      <w:r w:rsidRPr="008D7391">
        <w:rPr>
          <w:sz w:val="22"/>
          <w:szCs w:val="22"/>
        </w:rPr>
        <w:t>.</w:t>
      </w:r>
    </w:p>
    <w:p w:rsidR="000C6316" w:rsidRPr="008D7391" w:rsidRDefault="000C6316" w:rsidP="00797A02">
      <w:pPr>
        <w:autoSpaceDE w:val="0"/>
        <w:autoSpaceDN w:val="0"/>
        <w:adjustRightInd w:val="0"/>
        <w:ind w:firstLine="709"/>
        <w:jc w:val="both"/>
        <w:outlineLvl w:val="1"/>
        <w:rPr>
          <w:sz w:val="22"/>
          <w:szCs w:val="22"/>
        </w:rPr>
      </w:pPr>
      <w:r w:rsidRPr="008D7391">
        <w:rPr>
          <w:sz w:val="22"/>
          <w:szCs w:val="22"/>
        </w:rPr>
        <w:t xml:space="preserve">В своей жалобе Заявитель </w:t>
      </w:r>
      <w:r w:rsidR="004B1BBD" w:rsidRPr="008D7391">
        <w:rPr>
          <w:sz w:val="22"/>
          <w:szCs w:val="22"/>
        </w:rPr>
        <w:t>выражает свое несогласие с решением единой комиссии и считает, что вторая часть заявки Общества соответствует требованиям пункта 1 части 6 статьи 41.11 Федерального закона «О размещении заказов».</w:t>
      </w:r>
    </w:p>
    <w:p w:rsidR="004B1BBD" w:rsidRPr="008D7391" w:rsidRDefault="004F5DBA" w:rsidP="00797A02">
      <w:pPr>
        <w:autoSpaceDE w:val="0"/>
        <w:autoSpaceDN w:val="0"/>
        <w:adjustRightInd w:val="0"/>
        <w:ind w:firstLine="709"/>
        <w:jc w:val="both"/>
        <w:outlineLvl w:val="1"/>
        <w:rPr>
          <w:sz w:val="22"/>
          <w:szCs w:val="22"/>
        </w:rPr>
      </w:pPr>
      <w:r w:rsidRPr="008D7391">
        <w:rPr>
          <w:sz w:val="22"/>
          <w:szCs w:val="22"/>
        </w:rPr>
        <w:t xml:space="preserve">Изучив заявки на участие в аукционе всех участников размещения заказа, Комиссия установила, что </w:t>
      </w:r>
      <w:r w:rsidR="00A15C90" w:rsidRPr="008D7391">
        <w:rPr>
          <w:sz w:val="22"/>
          <w:szCs w:val="22"/>
        </w:rPr>
        <w:t xml:space="preserve">вторая часть </w:t>
      </w:r>
      <w:r w:rsidRPr="008D7391">
        <w:rPr>
          <w:sz w:val="22"/>
          <w:szCs w:val="22"/>
        </w:rPr>
        <w:t>заявк</w:t>
      </w:r>
      <w:r w:rsidR="00A15C90" w:rsidRPr="008D7391">
        <w:rPr>
          <w:sz w:val="22"/>
          <w:szCs w:val="22"/>
        </w:rPr>
        <w:t>и</w:t>
      </w:r>
      <w:r w:rsidRPr="008D7391">
        <w:rPr>
          <w:sz w:val="22"/>
          <w:szCs w:val="22"/>
        </w:rPr>
        <w:t xml:space="preserve"> Общества полностью соответствует требованиям, установленным документацией об аукционе.</w:t>
      </w:r>
    </w:p>
    <w:p w:rsidR="00A15C90" w:rsidRPr="008D7391" w:rsidRDefault="004F5DBA" w:rsidP="00A15C90">
      <w:pPr>
        <w:autoSpaceDE w:val="0"/>
        <w:autoSpaceDN w:val="0"/>
        <w:adjustRightInd w:val="0"/>
        <w:ind w:firstLine="709"/>
        <w:jc w:val="both"/>
        <w:outlineLvl w:val="1"/>
        <w:rPr>
          <w:sz w:val="22"/>
          <w:szCs w:val="22"/>
        </w:rPr>
      </w:pPr>
      <w:r w:rsidRPr="008D7391">
        <w:rPr>
          <w:sz w:val="22"/>
          <w:szCs w:val="22"/>
        </w:rPr>
        <w:t>Представитель Заказчика поясн</w:t>
      </w:r>
      <w:r w:rsidR="00CC141C" w:rsidRPr="008D7391">
        <w:rPr>
          <w:sz w:val="22"/>
          <w:szCs w:val="22"/>
        </w:rPr>
        <w:t xml:space="preserve">ил, что в первой части заявки на участие в аукционе Общество предложило неоригинальный товар, что не соответствовало требованиям раздела </w:t>
      </w:r>
      <w:r w:rsidR="00CC141C" w:rsidRPr="008D7391">
        <w:rPr>
          <w:sz w:val="22"/>
          <w:szCs w:val="22"/>
          <w:lang w:val="en-US"/>
        </w:rPr>
        <w:t>IV</w:t>
      </w:r>
      <w:r w:rsidR="00CC141C" w:rsidRPr="008D7391">
        <w:rPr>
          <w:sz w:val="22"/>
          <w:szCs w:val="22"/>
        </w:rPr>
        <w:t xml:space="preserve"> «Заказ на товар» документации об аукционе, но данный факт был установлен единой комиссией только при рассмотрении вторых частей заявок на участие в аукционе.</w:t>
      </w:r>
    </w:p>
    <w:p w:rsidR="00A15C90" w:rsidRPr="008D7391" w:rsidRDefault="00A15C90" w:rsidP="00797A02">
      <w:pPr>
        <w:autoSpaceDE w:val="0"/>
        <w:autoSpaceDN w:val="0"/>
        <w:adjustRightInd w:val="0"/>
        <w:ind w:firstLine="709"/>
        <w:jc w:val="both"/>
        <w:outlineLvl w:val="1"/>
        <w:rPr>
          <w:sz w:val="22"/>
          <w:szCs w:val="22"/>
        </w:rPr>
      </w:pPr>
      <w:r w:rsidRPr="008D7391">
        <w:rPr>
          <w:sz w:val="22"/>
          <w:szCs w:val="22"/>
        </w:rPr>
        <w:t>Исходя из изложенного, Комиссия сделала следующий вывод.</w:t>
      </w:r>
    </w:p>
    <w:p w:rsidR="00A6434A" w:rsidRPr="008D7391" w:rsidRDefault="00A6434A" w:rsidP="00797A02">
      <w:pPr>
        <w:autoSpaceDE w:val="0"/>
        <w:autoSpaceDN w:val="0"/>
        <w:adjustRightInd w:val="0"/>
        <w:ind w:firstLine="709"/>
        <w:jc w:val="both"/>
        <w:outlineLvl w:val="1"/>
        <w:rPr>
          <w:sz w:val="22"/>
          <w:szCs w:val="22"/>
        </w:rPr>
      </w:pPr>
      <w:r w:rsidRPr="008D7391">
        <w:rPr>
          <w:sz w:val="22"/>
          <w:szCs w:val="22"/>
        </w:rPr>
        <w:t xml:space="preserve">В силу требований части </w:t>
      </w:r>
      <w:r w:rsidR="00B24FEA" w:rsidRPr="008D7391">
        <w:rPr>
          <w:sz w:val="22"/>
          <w:szCs w:val="22"/>
        </w:rPr>
        <w:t>1</w:t>
      </w:r>
      <w:r w:rsidRPr="008D7391">
        <w:rPr>
          <w:sz w:val="22"/>
          <w:szCs w:val="22"/>
        </w:rPr>
        <w:t xml:space="preserve"> статьи 41.9 Федерального закона «О размещении заказов» аукционная комиссия проверяет первые части заявок на участие в открытом аукционе в электронной форме, содержащие предусмотренные </w:t>
      </w:r>
      <w:hyperlink r:id="rId23" w:history="1">
        <w:r w:rsidRPr="008D7391">
          <w:rPr>
            <w:sz w:val="22"/>
            <w:szCs w:val="22"/>
          </w:rPr>
          <w:t>частью 4 статьи 41.8</w:t>
        </w:r>
      </w:hyperlink>
      <w:r w:rsidRPr="008D7391">
        <w:rPr>
          <w:sz w:val="22"/>
          <w:szCs w:val="22"/>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B24FEA" w:rsidRPr="008D7391" w:rsidRDefault="00884CC8" w:rsidP="00884CC8">
      <w:pPr>
        <w:widowControl w:val="0"/>
        <w:autoSpaceDE w:val="0"/>
        <w:autoSpaceDN w:val="0"/>
        <w:adjustRightInd w:val="0"/>
        <w:ind w:firstLine="720"/>
        <w:jc w:val="both"/>
        <w:rPr>
          <w:sz w:val="22"/>
          <w:szCs w:val="22"/>
        </w:rPr>
      </w:pPr>
      <w:r w:rsidRPr="008D7391">
        <w:rPr>
          <w:sz w:val="22"/>
          <w:szCs w:val="22"/>
        </w:rPr>
        <w:t>В соответствии с требованиями части</w:t>
      </w:r>
      <w:r w:rsidR="00A6434A" w:rsidRPr="008D7391">
        <w:rPr>
          <w:sz w:val="22"/>
          <w:szCs w:val="22"/>
        </w:rPr>
        <w:t xml:space="preserve"> 4 статьи 41.9 настоящего Федерального закона </w:t>
      </w:r>
      <w:r w:rsidRPr="008D7391">
        <w:rPr>
          <w:sz w:val="22"/>
          <w:szCs w:val="22"/>
        </w:rPr>
        <w:t>у</w:t>
      </w:r>
      <w:r w:rsidR="00B24FEA" w:rsidRPr="008D7391">
        <w:rPr>
          <w:sz w:val="22"/>
          <w:szCs w:val="22"/>
        </w:rPr>
        <w:t>частник размещения заказа не допускается к участию в открытом аукционе в электронной форме в случае:</w:t>
      </w:r>
    </w:p>
    <w:p w:rsidR="00B24FEA" w:rsidRPr="008D7391" w:rsidRDefault="00B24FEA" w:rsidP="00884CC8">
      <w:pPr>
        <w:widowControl w:val="0"/>
        <w:autoSpaceDE w:val="0"/>
        <w:autoSpaceDN w:val="0"/>
        <w:adjustRightInd w:val="0"/>
        <w:ind w:firstLine="720"/>
        <w:jc w:val="both"/>
        <w:rPr>
          <w:sz w:val="22"/>
          <w:szCs w:val="22"/>
        </w:rPr>
      </w:pPr>
      <w:r w:rsidRPr="008D7391">
        <w:rPr>
          <w:sz w:val="22"/>
          <w:szCs w:val="22"/>
        </w:rPr>
        <w:t xml:space="preserve">1) непредоставления сведений, предусмотренных </w:t>
      </w:r>
      <w:hyperlink r:id="rId24" w:history="1">
        <w:r w:rsidRPr="008D7391">
          <w:rPr>
            <w:sz w:val="22"/>
            <w:szCs w:val="22"/>
          </w:rPr>
          <w:t>частью 4 статьи 41.8</w:t>
        </w:r>
      </w:hyperlink>
      <w:r w:rsidRPr="008D7391">
        <w:rPr>
          <w:sz w:val="22"/>
          <w:szCs w:val="22"/>
        </w:rPr>
        <w:t xml:space="preserve"> настоящего Федерального закона, или предоставления недостоверных сведений;</w:t>
      </w:r>
    </w:p>
    <w:p w:rsidR="00B24FEA" w:rsidRPr="008D7391" w:rsidRDefault="00B24FEA" w:rsidP="00884CC8">
      <w:pPr>
        <w:widowControl w:val="0"/>
        <w:autoSpaceDE w:val="0"/>
        <w:autoSpaceDN w:val="0"/>
        <w:adjustRightInd w:val="0"/>
        <w:ind w:firstLine="720"/>
        <w:jc w:val="both"/>
        <w:rPr>
          <w:sz w:val="22"/>
          <w:szCs w:val="22"/>
        </w:rPr>
      </w:pPr>
      <w:r w:rsidRPr="008D7391">
        <w:rPr>
          <w:sz w:val="22"/>
          <w:szCs w:val="22"/>
        </w:rPr>
        <w:t xml:space="preserve">2) несоответствия сведений, предусмотренных </w:t>
      </w:r>
      <w:hyperlink r:id="rId25" w:history="1">
        <w:r w:rsidRPr="008D7391">
          <w:rPr>
            <w:sz w:val="22"/>
            <w:szCs w:val="22"/>
          </w:rPr>
          <w:t>частью 4 статьи 41.8</w:t>
        </w:r>
      </w:hyperlink>
      <w:r w:rsidRPr="008D7391">
        <w:rPr>
          <w:sz w:val="22"/>
          <w:szCs w:val="22"/>
        </w:rPr>
        <w:t xml:space="preserve"> настоящего Федерального закона, требованиям документации об открытом аукционе в электронной форме.</w:t>
      </w:r>
    </w:p>
    <w:p w:rsidR="00A15C90" w:rsidRPr="008D7391" w:rsidRDefault="00037046" w:rsidP="00884CC8">
      <w:pPr>
        <w:widowControl w:val="0"/>
        <w:autoSpaceDE w:val="0"/>
        <w:autoSpaceDN w:val="0"/>
        <w:adjustRightInd w:val="0"/>
        <w:ind w:firstLine="720"/>
        <w:jc w:val="both"/>
        <w:rPr>
          <w:sz w:val="22"/>
          <w:szCs w:val="22"/>
        </w:rPr>
      </w:pPr>
      <w:r w:rsidRPr="008D7391">
        <w:rPr>
          <w:sz w:val="22"/>
          <w:szCs w:val="22"/>
        </w:rPr>
        <w:t xml:space="preserve">Руководствуясь частью 3 статьи 34, частью 1 статьи 41.6 Федерального закона «О размещении заказов» в разделе </w:t>
      </w:r>
      <w:r w:rsidRPr="008D7391">
        <w:rPr>
          <w:sz w:val="22"/>
          <w:szCs w:val="22"/>
          <w:lang w:val="en-US"/>
        </w:rPr>
        <w:t>IV</w:t>
      </w:r>
      <w:r w:rsidRPr="008D7391">
        <w:rPr>
          <w:sz w:val="22"/>
          <w:szCs w:val="22"/>
        </w:rPr>
        <w:t xml:space="preserve"> «Заказ на товар» документации об аукционе Заказчик установил требование о поставке оригинальных картриджей изготовленных под товарным знаком «</w:t>
      </w:r>
      <w:r w:rsidRPr="008D7391">
        <w:rPr>
          <w:sz w:val="22"/>
          <w:szCs w:val="22"/>
          <w:lang w:val="en-US"/>
        </w:rPr>
        <w:t>XEROX</w:t>
      </w:r>
      <w:r w:rsidRPr="008D7391">
        <w:rPr>
          <w:sz w:val="22"/>
          <w:szCs w:val="22"/>
        </w:rPr>
        <w:t>®».</w:t>
      </w:r>
    </w:p>
    <w:p w:rsidR="00037046" w:rsidRPr="008D7391" w:rsidRDefault="00037046" w:rsidP="00884CC8">
      <w:pPr>
        <w:widowControl w:val="0"/>
        <w:autoSpaceDE w:val="0"/>
        <w:autoSpaceDN w:val="0"/>
        <w:adjustRightInd w:val="0"/>
        <w:ind w:firstLine="720"/>
        <w:jc w:val="both"/>
        <w:rPr>
          <w:sz w:val="22"/>
          <w:szCs w:val="22"/>
        </w:rPr>
      </w:pPr>
      <w:r w:rsidRPr="008D7391">
        <w:rPr>
          <w:sz w:val="22"/>
          <w:szCs w:val="22"/>
        </w:rPr>
        <w:t xml:space="preserve">В заявке на участие в аукционе Общество предложило картриджи производства ООО ПО «РУТОН», т.з. </w:t>
      </w:r>
      <w:r w:rsidR="008D7391" w:rsidRPr="008D7391">
        <w:rPr>
          <w:sz w:val="22"/>
          <w:szCs w:val="22"/>
        </w:rPr>
        <w:t>«</w:t>
      </w:r>
      <w:r w:rsidRPr="008D7391">
        <w:rPr>
          <w:sz w:val="22"/>
          <w:szCs w:val="22"/>
          <w:lang w:val="en-US"/>
        </w:rPr>
        <w:t>Ru</w:t>
      </w:r>
      <w:r w:rsidR="008D7391" w:rsidRPr="008D7391">
        <w:rPr>
          <w:sz w:val="22"/>
          <w:szCs w:val="22"/>
          <w:lang w:val="en-US"/>
        </w:rPr>
        <w:t>Tone</w:t>
      </w:r>
      <w:r w:rsidR="008D7391" w:rsidRPr="008D7391">
        <w:rPr>
          <w:sz w:val="22"/>
          <w:szCs w:val="22"/>
        </w:rPr>
        <w:t>»</w:t>
      </w:r>
      <w:r w:rsidRPr="008D7391">
        <w:rPr>
          <w:sz w:val="22"/>
          <w:szCs w:val="22"/>
        </w:rPr>
        <w:t xml:space="preserve"> и ООО «ОПТИКАРТ»</w:t>
      </w:r>
      <w:r w:rsidR="008D7391" w:rsidRPr="008D7391">
        <w:rPr>
          <w:sz w:val="22"/>
          <w:szCs w:val="22"/>
        </w:rPr>
        <w:t>, т.з. «</w:t>
      </w:r>
      <w:r w:rsidR="008D7391" w:rsidRPr="008D7391">
        <w:rPr>
          <w:sz w:val="22"/>
          <w:szCs w:val="22"/>
          <w:lang w:val="en-US"/>
        </w:rPr>
        <w:t>Optic</w:t>
      </w:r>
      <w:r w:rsidR="008D7391" w:rsidRPr="008D7391">
        <w:rPr>
          <w:sz w:val="22"/>
          <w:szCs w:val="22"/>
        </w:rPr>
        <w:t>@</w:t>
      </w:r>
      <w:r w:rsidR="008D7391" w:rsidRPr="008D7391">
        <w:rPr>
          <w:sz w:val="22"/>
          <w:szCs w:val="22"/>
          <w:lang w:val="en-US"/>
        </w:rPr>
        <w:t>rt</w:t>
      </w:r>
      <w:r w:rsidR="008D7391" w:rsidRPr="008D7391">
        <w:rPr>
          <w:sz w:val="22"/>
          <w:szCs w:val="22"/>
        </w:rPr>
        <w:t>»</w:t>
      </w:r>
      <w:r w:rsidRPr="008D7391">
        <w:rPr>
          <w:sz w:val="22"/>
          <w:szCs w:val="22"/>
        </w:rPr>
        <w:t>.</w:t>
      </w:r>
    </w:p>
    <w:p w:rsidR="00A15C90" w:rsidRPr="008D7391" w:rsidRDefault="008D7391" w:rsidP="001A15F8">
      <w:pPr>
        <w:autoSpaceDE w:val="0"/>
        <w:autoSpaceDN w:val="0"/>
        <w:adjustRightInd w:val="0"/>
        <w:ind w:firstLine="709"/>
        <w:jc w:val="both"/>
        <w:outlineLvl w:val="1"/>
        <w:rPr>
          <w:sz w:val="22"/>
          <w:szCs w:val="22"/>
        </w:rPr>
      </w:pPr>
      <w:r w:rsidRPr="008D7391">
        <w:rPr>
          <w:sz w:val="22"/>
          <w:szCs w:val="22"/>
        </w:rPr>
        <w:t xml:space="preserve">Таким образом, единая комиссия должна была отказать Обществу в допуске к участию в аукционе при рассмотрении </w:t>
      </w:r>
      <w:r w:rsidRPr="008D7391">
        <w:rPr>
          <w:b/>
          <w:sz w:val="22"/>
          <w:szCs w:val="22"/>
        </w:rPr>
        <w:t>первых частей заявок</w:t>
      </w:r>
      <w:r w:rsidRPr="008D7391">
        <w:rPr>
          <w:sz w:val="22"/>
          <w:szCs w:val="22"/>
        </w:rPr>
        <w:t xml:space="preserve"> на участие в аукционе.</w:t>
      </w:r>
    </w:p>
    <w:p w:rsidR="008D7391" w:rsidRPr="008D7391" w:rsidRDefault="008D7391" w:rsidP="001A15F8">
      <w:pPr>
        <w:autoSpaceDE w:val="0"/>
        <w:autoSpaceDN w:val="0"/>
        <w:adjustRightInd w:val="0"/>
        <w:ind w:firstLine="709"/>
        <w:jc w:val="both"/>
        <w:outlineLvl w:val="1"/>
        <w:rPr>
          <w:sz w:val="22"/>
          <w:szCs w:val="22"/>
        </w:rPr>
      </w:pPr>
      <w:r w:rsidRPr="008D7391">
        <w:rPr>
          <w:sz w:val="22"/>
          <w:szCs w:val="22"/>
        </w:rPr>
        <w:t>Комиссия считает, что действия единой комиссии привели к нарушению требований пункта 2 части 4 статьи 41.9, пункта 1 части 6 статьи 41.11 Федерального закона «О размещении заказов».</w:t>
      </w:r>
    </w:p>
    <w:p w:rsidR="004F7C70" w:rsidRPr="008D7391" w:rsidRDefault="004F7C70" w:rsidP="00C74A91">
      <w:pPr>
        <w:autoSpaceDE w:val="0"/>
        <w:autoSpaceDN w:val="0"/>
        <w:adjustRightInd w:val="0"/>
        <w:ind w:firstLine="709"/>
        <w:jc w:val="both"/>
        <w:outlineLvl w:val="1"/>
        <w:rPr>
          <w:sz w:val="22"/>
          <w:szCs w:val="22"/>
        </w:rPr>
      </w:pPr>
    </w:p>
    <w:p w:rsidR="00BF2588" w:rsidRPr="008D7391" w:rsidRDefault="009D12F3" w:rsidP="002F45ED">
      <w:pPr>
        <w:autoSpaceDE w:val="0"/>
        <w:autoSpaceDN w:val="0"/>
        <w:adjustRightInd w:val="0"/>
        <w:ind w:firstLine="709"/>
        <w:jc w:val="both"/>
        <w:outlineLvl w:val="1"/>
        <w:rPr>
          <w:sz w:val="22"/>
          <w:szCs w:val="22"/>
        </w:rPr>
      </w:pPr>
      <w:r w:rsidRPr="008D7391">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8D7391">
        <w:rPr>
          <w:sz w:val="22"/>
          <w:szCs w:val="22"/>
        </w:rPr>
        <w:t xml:space="preserve">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w:t>
      </w:r>
      <w:r w:rsidR="00BF2588" w:rsidRPr="008D7391">
        <w:rPr>
          <w:sz w:val="22"/>
          <w:szCs w:val="22"/>
        </w:rPr>
        <w:lastRenderedPageBreak/>
        <w:t>утвержденным приказом ФАС России от 24.07.2012 № 498, зарегистрированного в Минюсте России 01.08.2012 № 25073, Комиссия</w:t>
      </w:r>
    </w:p>
    <w:p w:rsidR="00BA0993" w:rsidRPr="008D7391" w:rsidRDefault="00BA0993" w:rsidP="002F45ED">
      <w:pPr>
        <w:jc w:val="center"/>
        <w:rPr>
          <w:sz w:val="22"/>
          <w:szCs w:val="22"/>
        </w:rPr>
      </w:pPr>
    </w:p>
    <w:p w:rsidR="009B3753" w:rsidRPr="008D7391" w:rsidRDefault="009B3753" w:rsidP="002F45ED">
      <w:pPr>
        <w:jc w:val="center"/>
        <w:rPr>
          <w:sz w:val="22"/>
          <w:szCs w:val="22"/>
        </w:rPr>
      </w:pPr>
      <w:r w:rsidRPr="008D7391">
        <w:rPr>
          <w:sz w:val="22"/>
          <w:szCs w:val="22"/>
        </w:rPr>
        <w:t>Р Е Ш И Л А:</w:t>
      </w:r>
    </w:p>
    <w:p w:rsidR="009B3753" w:rsidRPr="008D7391" w:rsidRDefault="009B3753" w:rsidP="00982E58">
      <w:pPr>
        <w:tabs>
          <w:tab w:val="left" w:pos="-1820"/>
          <w:tab w:val="left" w:pos="-1400"/>
          <w:tab w:val="left" w:pos="700"/>
        </w:tabs>
        <w:ind w:firstLine="709"/>
        <w:jc w:val="both"/>
        <w:rPr>
          <w:b/>
          <w:sz w:val="22"/>
          <w:szCs w:val="22"/>
        </w:rPr>
      </w:pPr>
    </w:p>
    <w:p w:rsidR="00C6731F" w:rsidRPr="00C6731F" w:rsidRDefault="004F7C70" w:rsidP="007018DD">
      <w:pPr>
        <w:tabs>
          <w:tab w:val="left" w:pos="763"/>
        </w:tabs>
        <w:ind w:firstLine="709"/>
        <w:jc w:val="both"/>
        <w:rPr>
          <w:rStyle w:val="iceouttxt1"/>
          <w:rFonts w:ascii="Times New Roman" w:hAnsi="Times New Roman" w:cs="Times New Roman"/>
          <w:b/>
          <w:color w:val="auto"/>
          <w:sz w:val="22"/>
          <w:szCs w:val="22"/>
        </w:rPr>
      </w:pPr>
      <w:r w:rsidRPr="008D7391">
        <w:rPr>
          <w:b/>
          <w:sz w:val="22"/>
          <w:szCs w:val="22"/>
        </w:rPr>
        <w:t>1.</w:t>
      </w:r>
      <w:r w:rsidRPr="008D7391">
        <w:rPr>
          <w:sz w:val="22"/>
          <w:szCs w:val="22"/>
        </w:rPr>
        <w:t xml:space="preserve"> </w:t>
      </w:r>
      <w:r w:rsidR="007335C3" w:rsidRPr="008D7391">
        <w:rPr>
          <w:sz w:val="22"/>
          <w:szCs w:val="22"/>
        </w:rPr>
        <w:t>Признать</w:t>
      </w:r>
      <w:r w:rsidR="007335C3" w:rsidRPr="008D7391">
        <w:rPr>
          <w:b/>
          <w:sz w:val="22"/>
          <w:szCs w:val="22"/>
        </w:rPr>
        <w:t xml:space="preserve"> обоснованной</w:t>
      </w:r>
      <w:r w:rsidR="007335C3" w:rsidRPr="008D7391">
        <w:rPr>
          <w:sz w:val="22"/>
          <w:szCs w:val="22"/>
        </w:rPr>
        <w:t xml:space="preserve"> </w:t>
      </w:r>
      <w:r w:rsidR="007335C3" w:rsidRPr="008D7391">
        <w:rPr>
          <w:bCs/>
          <w:sz w:val="22"/>
          <w:szCs w:val="22"/>
        </w:rPr>
        <w:t>жалобу</w:t>
      </w:r>
      <w:r w:rsidR="007335C3" w:rsidRPr="008D7391">
        <w:rPr>
          <w:sz w:val="22"/>
          <w:szCs w:val="22"/>
        </w:rPr>
        <w:t xml:space="preserve"> </w:t>
      </w:r>
      <w:r w:rsidR="00C6731F" w:rsidRPr="008D7391">
        <w:rPr>
          <w:sz w:val="22"/>
          <w:szCs w:val="22"/>
        </w:rPr>
        <w:t xml:space="preserve">ООО «Рутон» на действия Государственного учреждения – Омское региональное отделение Фонда социального страхования РФ и его единой комиссии при проведении открытого аукциона в электронной форме </w:t>
      </w:r>
      <w:r w:rsidR="00C6731F" w:rsidRPr="008D7391">
        <w:rPr>
          <w:rStyle w:val="iceouttxt1"/>
          <w:rFonts w:ascii="Times New Roman" w:hAnsi="Times New Roman" w:cs="Times New Roman"/>
          <w:color w:val="auto"/>
          <w:sz w:val="22"/>
          <w:szCs w:val="22"/>
        </w:rPr>
        <w:t xml:space="preserve">на право заключения государственного контракта на поставку картриджей для принтеров и многофункциональных устройств </w:t>
      </w:r>
      <w:r w:rsidR="00C6731F" w:rsidRPr="008D7391">
        <w:rPr>
          <w:rStyle w:val="iceouttxt1"/>
          <w:rFonts w:ascii="Times New Roman" w:hAnsi="Times New Roman" w:cs="Times New Roman"/>
          <w:b/>
          <w:color w:val="auto"/>
          <w:sz w:val="22"/>
          <w:szCs w:val="22"/>
          <w:lang w:val="en-US"/>
        </w:rPr>
        <w:t>XEROX</w:t>
      </w:r>
      <w:r w:rsidR="00C6731F">
        <w:rPr>
          <w:rStyle w:val="iceouttxt1"/>
          <w:rFonts w:ascii="Times New Roman" w:hAnsi="Times New Roman" w:cs="Times New Roman"/>
          <w:b/>
          <w:color w:val="auto"/>
          <w:sz w:val="22"/>
          <w:szCs w:val="22"/>
        </w:rPr>
        <w:t>.</w:t>
      </w:r>
    </w:p>
    <w:p w:rsidR="002314EF" w:rsidRPr="008D7391" w:rsidRDefault="002314EF" w:rsidP="00982E58">
      <w:pPr>
        <w:ind w:firstLine="709"/>
        <w:jc w:val="both"/>
        <w:rPr>
          <w:snapToGrid w:val="0"/>
          <w:sz w:val="22"/>
          <w:szCs w:val="22"/>
        </w:rPr>
      </w:pPr>
    </w:p>
    <w:p w:rsidR="004F7C70" w:rsidRPr="008D7391" w:rsidRDefault="004F7C70" w:rsidP="004F7C70">
      <w:pPr>
        <w:autoSpaceDE w:val="0"/>
        <w:autoSpaceDN w:val="0"/>
        <w:adjustRightInd w:val="0"/>
        <w:ind w:firstLine="709"/>
        <w:jc w:val="both"/>
        <w:rPr>
          <w:sz w:val="22"/>
          <w:szCs w:val="22"/>
        </w:rPr>
      </w:pPr>
      <w:r w:rsidRPr="008D7391">
        <w:rPr>
          <w:b/>
          <w:sz w:val="22"/>
          <w:szCs w:val="22"/>
        </w:rPr>
        <w:t>2.</w:t>
      </w:r>
      <w:r w:rsidRPr="008D7391">
        <w:rPr>
          <w:sz w:val="22"/>
          <w:szCs w:val="22"/>
        </w:rPr>
        <w:t xml:space="preserve"> Признать в действиях </w:t>
      </w:r>
      <w:r w:rsidR="00C6731F" w:rsidRPr="008D7391">
        <w:rPr>
          <w:sz w:val="22"/>
          <w:szCs w:val="22"/>
        </w:rPr>
        <w:t xml:space="preserve">Государственного учреждения – Омское региональное отделение Фонда социального страхования РФ и его единой комиссии </w:t>
      </w:r>
      <w:r w:rsidRPr="008D7391">
        <w:rPr>
          <w:sz w:val="22"/>
          <w:szCs w:val="22"/>
        </w:rPr>
        <w:t xml:space="preserve">нарушение требований </w:t>
      </w:r>
      <w:r w:rsidR="00C6731F">
        <w:rPr>
          <w:sz w:val="22"/>
          <w:szCs w:val="22"/>
        </w:rPr>
        <w:t>пункта 2 части 4 статьи 41.9, пункта 1 части 6 статьи 41.11</w:t>
      </w:r>
      <w:r w:rsidRPr="008D7391">
        <w:rPr>
          <w:sz w:val="22"/>
          <w:szCs w:val="22"/>
        </w:rPr>
        <w:t xml:space="preserve"> Федерального закона «О размещении заказов».</w:t>
      </w:r>
    </w:p>
    <w:p w:rsidR="004F7C70" w:rsidRPr="008D7391" w:rsidRDefault="004F7C70" w:rsidP="004F7C70">
      <w:pPr>
        <w:ind w:firstLine="709"/>
        <w:jc w:val="both"/>
        <w:rPr>
          <w:b/>
          <w:sz w:val="22"/>
          <w:szCs w:val="22"/>
        </w:rPr>
      </w:pPr>
    </w:p>
    <w:p w:rsidR="004F7C70" w:rsidRPr="008D7391" w:rsidRDefault="004F7C70" w:rsidP="004F7C70">
      <w:pPr>
        <w:ind w:firstLine="709"/>
        <w:jc w:val="both"/>
        <w:rPr>
          <w:snapToGrid w:val="0"/>
          <w:sz w:val="22"/>
          <w:szCs w:val="22"/>
        </w:rPr>
      </w:pPr>
      <w:r w:rsidRPr="008D7391">
        <w:rPr>
          <w:b/>
          <w:sz w:val="22"/>
          <w:szCs w:val="22"/>
        </w:rPr>
        <w:t xml:space="preserve">3. </w:t>
      </w:r>
      <w:r w:rsidRPr="008D7391">
        <w:rPr>
          <w:sz w:val="22"/>
          <w:szCs w:val="22"/>
        </w:rPr>
        <w:t xml:space="preserve">В соответствии с частью 9 статьи 17 Федерального закона «О размещении заказов» выдать </w:t>
      </w:r>
      <w:r w:rsidR="00C6731F" w:rsidRPr="008D7391">
        <w:rPr>
          <w:sz w:val="22"/>
          <w:szCs w:val="22"/>
        </w:rPr>
        <w:t>Государственно</w:t>
      </w:r>
      <w:r w:rsidR="00C6731F">
        <w:rPr>
          <w:sz w:val="22"/>
          <w:szCs w:val="22"/>
        </w:rPr>
        <w:t>му</w:t>
      </w:r>
      <w:r w:rsidR="00C6731F" w:rsidRPr="008D7391">
        <w:rPr>
          <w:sz w:val="22"/>
          <w:szCs w:val="22"/>
        </w:rPr>
        <w:t xml:space="preserve"> учреждени</w:t>
      </w:r>
      <w:r w:rsidR="00C6731F">
        <w:rPr>
          <w:sz w:val="22"/>
          <w:szCs w:val="22"/>
        </w:rPr>
        <w:t>ю</w:t>
      </w:r>
      <w:r w:rsidR="00C6731F" w:rsidRPr="008D7391">
        <w:rPr>
          <w:sz w:val="22"/>
          <w:szCs w:val="22"/>
        </w:rPr>
        <w:t xml:space="preserve"> – Омское региональное отделение Фонда социального страхования РФ</w:t>
      </w:r>
      <w:r w:rsidR="00C87E0F">
        <w:rPr>
          <w:sz w:val="22"/>
          <w:szCs w:val="22"/>
        </w:rPr>
        <w:t>,</w:t>
      </w:r>
      <w:r w:rsidR="00C6731F" w:rsidRPr="008D7391">
        <w:rPr>
          <w:sz w:val="22"/>
          <w:szCs w:val="22"/>
        </w:rPr>
        <w:t xml:space="preserve"> его единой комиссии</w:t>
      </w:r>
      <w:r w:rsidR="00C87E0F">
        <w:rPr>
          <w:sz w:val="22"/>
          <w:szCs w:val="22"/>
        </w:rPr>
        <w:t xml:space="preserve"> и о</w:t>
      </w:r>
      <w:r w:rsidR="00C87E0F" w:rsidRPr="00C87E0F">
        <w:rPr>
          <w:sz w:val="22"/>
          <w:szCs w:val="22"/>
        </w:rPr>
        <w:t>ператору электронной площадки ЗАО «Сбербанк-АСТ»</w:t>
      </w:r>
      <w:r w:rsidR="00C6731F" w:rsidRPr="008D7391">
        <w:rPr>
          <w:sz w:val="22"/>
          <w:szCs w:val="22"/>
        </w:rPr>
        <w:t xml:space="preserve"> </w:t>
      </w:r>
      <w:r w:rsidRPr="008D7391">
        <w:rPr>
          <w:sz w:val="22"/>
          <w:szCs w:val="22"/>
        </w:rPr>
        <w:t xml:space="preserve">предписание </w:t>
      </w:r>
      <w:r w:rsidRPr="008D7391">
        <w:rPr>
          <w:snapToGrid w:val="0"/>
          <w:sz w:val="22"/>
          <w:szCs w:val="22"/>
        </w:rPr>
        <w:t xml:space="preserve">об устранении нарушений законодательства о размещении заказов. </w:t>
      </w:r>
    </w:p>
    <w:p w:rsidR="001A15F8" w:rsidRPr="008D7391" w:rsidRDefault="001A15F8" w:rsidP="004F7C70">
      <w:pPr>
        <w:ind w:firstLine="709"/>
        <w:jc w:val="both"/>
        <w:rPr>
          <w:snapToGrid w:val="0"/>
          <w:sz w:val="22"/>
          <w:szCs w:val="22"/>
        </w:rPr>
      </w:pPr>
    </w:p>
    <w:p w:rsidR="004F7C70" w:rsidRPr="008D7391" w:rsidRDefault="004F7C70" w:rsidP="004F7C70">
      <w:pPr>
        <w:pStyle w:val="ConsPlusNonformat"/>
        <w:widowControl/>
        <w:ind w:firstLine="708"/>
        <w:jc w:val="both"/>
        <w:outlineLvl w:val="0"/>
        <w:rPr>
          <w:rFonts w:ascii="Times New Roman" w:hAnsi="Times New Roman" w:cs="Times New Roman"/>
          <w:sz w:val="22"/>
          <w:szCs w:val="22"/>
        </w:rPr>
      </w:pPr>
      <w:r w:rsidRPr="008D7391">
        <w:rPr>
          <w:rFonts w:ascii="Times New Roman" w:hAnsi="Times New Roman" w:cs="Times New Roman"/>
          <w:b/>
          <w:sz w:val="22"/>
          <w:szCs w:val="22"/>
        </w:rPr>
        <w:t xml:space="preserve">4. </w:t>
      </w:r>
      <w:r w:rsidRPr="008D7391">
        <w:rPr>
          <w:rFonts w:ascii="Times New Roman" w:hAnsi="Times New Roman" w:cs="Times New Roman"/>
          <w:sz w:val="22"/>
          <w:szCs w:val="22"/>
        </w:rPr>
        <w:t xml:space="preserve">По фактам выявленных нарушений законодательства о размещении заказов передать материалы </w:t>
      </w:r>
      <w:r w:rsidR="00634FD4" w:rsidRPr="008D7391">
        <w:rPr>
          <w:rFonts w:ascii="Times New Roman" w:hAnsi="Times New Roman" w:cs="Times New Roman"/>
          <w:sz w:val="22"/>
          <w:szCs w:val="22"/>
        </w:rPr>
        <w:t>размещения заказа</w:t>
      </w:r>
      <w:r w:rsidRPr="008D7391">
        <w:rPr>
          <w:rStyle w:val="iceouttxt1"/>
          <w:rFonts w:ascii="Times New Roman" w:hAnsi="Times New Roman" w:cs="Times New Roman"/>
          <w:color w:val="auto"/>
          <w:sz w:val="22"/>
          <w:szCs w:val="22"/>
        </w:rPr>
        <w:t xml:space="preserve"> </w:t>
      </w:r>
      <w:r w:rsidRPr="008D7391">
        <w:rPr>
          <w:rFonts w:ascii="Times New Roman" w:hAnsi="Times New Roman" w:cs="Times New Roman"/>
          <w:sz w:val="22"/>
          <w:szCs w:val="22"/>
        </w:rPr>
        <w:t xml:space="preserve">должностному лицу Омского УФАС России для рассмотрения вопроса о возбуждении дела об </w:t>
      </w:r>
      <w:r w:rsidR="00C6731F">
        <w:rPr>
          <w:rFonts w:ascii="Times New Roman" w:hAnsi="Times New Roman" w:cs="Times New Roman"/>
          <w:sz w:val="22"/>
          <w:szCs w:val="22"/>
        </w:rPr>
        <w:t>административном правонарушении</w:t>
      </w:r>
      <w:r w:rsidRPr="008D7391">
        <w:rPr>
          <w:rFonts w:ascii="Times New Roman" w:hAnsi="Times New Roman" w:cs="Times New Roman"/>
          <w:sz w:val="22"/>
          <w:szCs w:val="22"/>
        </w:rPr>
        <w:t xml:space="preserve"> по </w:t>
      </w:r>
      <w:r w:rsidRPr="008D7391">
        <w:rPr>
          <w:rFonts w:ascii="Times New Roman" w:hAnsi="Times New Roman" w:cs="Times New Roman"/>
          <w:snapToGrid w:val="0"/>
          <w:sz w:val="22"/>
          <w:szCs w:val="22"/>
        </w:rPr>
        <w:t xml:space="preserve">части </w:t>
      </w:r>
      <w:r w:rsidR="00C6731F">
        <w:rPr>
          <w:rFonts w:ascii="Times New Roman" w:hAnsi="Times New Roman" w:cs="Times New Roman"/>
          <w:snapToGrid w:val="0"/>
          <w:sz w:val="22"/>
          <w:szCs w:val="22"/>
        </w:rPr>
        <w:t>2</w:t>
      </w:r>
      <w:r w:rsidRPr="008D7391">
        <w:rPr>
          <w:rFonts w:ascii="Times New Roman" w:hAnsi="Times New Roman" w:cs="Times New Roman"/>
          <w:snapToGrid w:val="0"/>
          <w:sz w:val="22"/>
          <w:szCs w:val="22"/>
        </w:rPr>
        <w:t xml:space="preserve"> статьи 7.30 Кодекса Российской Федерации об административных правонарушениях в отношении </w:t>
      </w:r>
      <w:r w:rsidR="00C6731F">
        <w:rPr>
          <w:rFonts w:ascii="Times New Roman" w:hAnsi="Times New Roman" w:cs="Times New Roman"/>
          <w:snapToGrid w:val="0"/>
          <w:sz w:val="22"/>
          <w:szCs w:val="22"/>
        </w:rPr>
        <w:t>члена единой комиссии Панкратьева Андрея Викторовича</w:t>
      </w:r>
      <w:r w:rsidR="00634FD4" w:rsidRPr="008D7391">
        <w:rPr>
          <w:rFonts w:ascii="Times New Roman" w:hAnsi="Times New Roman" w:cs="Times New Roman"/>
          <w:sz w:val="22"/>
          <w:szCs w:val="22"/>
        </w:rPr>
        <w:t>.</w:t>
      </w:r>
    </w:p>
    <w:p w:rsidR="004F7C70" w:rsidRPr="008D7391" w:rsidRDefault="004F7C70" w:rsidP="00982E58">
      <w:pPr>
        <w:ind w:firstLine="709"/>
        <w:jc w:val="both"/>
        <w:rPr>
          <w:snapToGrid w:val="0"/>
          <w:sz w:val="22"/>
          <w:szCs w:val="22"/>
        </w:rPr>
      </w:pPr>
    </w:p>
    <w:p w:rsidR="009B3753" w:rsidRPr="008D7391" w:rsidRDefault="009B3753" w:rsidP="00982E58">
      <w:pPr>
        <w:ind w:firstLine="709"/>
        <w:jc w:val="both"/>
        <w:rPr>
          <w:sz w:val="22"/>
          <w:szCs w:val="22"/>
        </w:rPr>
      </w:pPr>
      <w:r w:rsidRPr="008D7391">
        <w:rPr>
          <w:sz w:val="22"/>
          <w:szCs w:val="22"/>
        </w:rPr>
        <w:t>Настоящее решение может быть обжаловано в судебном порядке в течение трех месяцев со дня его принятия.</w:t>
      </w:r>
    </w:p>
    <w:p w:rsidR="001E57F2" w:rsidRPr="008D7391" w:rsidRDefault="001E57F2" w:rsidP="00982E58">
      <w:pPr>
        <w:ind w:firstLine="709"/>
        <w:jc w:val="both"/>
        <w:rPr>
          <w:sz w:val="22"/>
          <w:szCs w:val="22"/>
        </w:rPr>
      </w:pPr>
    </w:p>
    <w:tbl>
      <w:tblPr>
        <w:tblW w:w="10456" w:type="dxa"/>
        <w:tblLook w:val="01E0"/>
      </w:tblPr>
      <w:tblGrid>
        <w:gridCol w:w="5120"/>
        <w:gridCol w:w="5336"/>
      </w:tblGrid>
      <w:tr w:rsidR="00634FD4" w:rsidRPr="008D7391" w:rsidTr="00634FD4">
        <w:tc>
          <w:tcPr>
            <w:tcW w:w="5120" w:type="dxa"/>
          </w:tcPr>
          <w:p w:rsidR="00634FD4" w:rsidRPr="008D7391" w:rsidRDefault="00634FD4" w:rsidP="00313C1C">
            <w:pPr>
              <w:spacing w:line="360" w:lineRule="auto"/>
              <w:jc w:val="both"/>
              <w:rPr>
                <w:sz w:val="22"/>
                <w:szCs w:val="22"/>
              </w:rPr>
            </w:pPr>
            <w:r w:rsidRPr="008D7391">
              <w:rPr>
                <w:sz w:val="22"/>
                <w:szCs w:val="22"/>
              </w:rPr>
              <w:t>Председатель Комиссии</w:t>
            </w:r>
          </w:p>
        </w:tc>
        <w:tc>
          <w:tcPr>
            <w:tcW w:w="5336" w:type="dxa"/>
          </w:tcPr>
          <w:p w:rsidR="00634FD4" w:rsidRPr="008D7391" w:rsidRDefault="00634FD4" w:rsidP="00313C1C">
            <w:pPr>
              <w:spacing w:line="360" w:lineRule="auto"/>
              <w:jc w:val="right"/>
              <w:rPr>
                <w:sz w:val="22"/>
                <w:szCs w:val="22"/>
              </w:rPr>
            </w:pPr>
            <w:r w:rsidRPr="008D7391">
              <w:rPr>
                <w:sz w:val="22"/>
                <w:szCs w:val="22"/>
              </w:rPr>
              <w:t>Т.П.Шмакова</w:t>
            </w:r>
          </w:p>
        </w:tc>
      </w:tr>
      <w:tr w:rsidR="00634FD4" w:rsidRPr="008D7391" w:rsidTr="00634FD4">
        <w:tc>
          <w:tcPr>
            <w:tcW w:w="5120" w:type="dxa"/>
          </w:tcPr>
          <w:p w:rsidR="00634FD4" w:rsidRPr="008D7391" w:rsidRDefault="00634FD4" w:rsidP="00313C1C">
            <w:pPr>
              <w:spacing w:line="360" w:lineRule="auto"/>
              <w:jc w:val="both"/>
              <w:rPr>
                <w:sz w:val="22"/>
                <w:szCs w:val="22"/>
              </w:rPr>
            </w:pPr>
            <w:r w:rsidRPr="008D7391">
              <w:rPr>
                <w:sz w:val="22"/>
                <w:szCs w:val="22"/>
              </w:rPr>
              <w:t>Заместитель Председателя Комиссии</w:t>
            </w:r>
          </w:p>
        </w:tc>
        <w:tc>
          <w:tcPr>
            <w:tcW w:w="5336" w:type="dxa"/>
          </w:tcPr>
          <w:p w:rsidR="00634FD4" w:rsidRPr="008D7391" w:rsidRDefault="00634FD4" w:rsidP="00313C1C">
            <w:pPr>
              <w:spacing w:line="360" w:lineRule="auto"/>
              <w:jc w:val="right"/>
              <w:rPr>
                <w:sz w:val="22"/>
                <w:szCs w:val="22"/>
              </w:rPr>
            </w:pPr>
            <w:r w:rsidRPr="008D7391">
              <w:rPr>
                <w:sz w:val="22"/>
                <w:szCs w:val="22"/>
              </w:rPr>
              <w:t>О.И.Иванченко</w:t>
            </w:r>
          </w:p>
        </w:tc>
      </w:tr>
      <w:tr w:rsidR="00634FD4" w:rsidRPr="008D7391" w:rsidTr="00634FD4">
        <w:tc>
          <w:tcPr>
            <w:tcW w:w="5120" w:type="dxa"/>
          </w:tcPr>
          <w:p w:rsidR="00634FD4" w:rsidRPr="008D7391" w:rsidRDefault="00634FD4" w:rsidP="00313C1C">
            <w:pPr>
              <w:spacing w:line="360" w:lineRule="auto"/>
              <w:jc w:val="both"/>
              <w:rPr>
                <w:sz w:val="22"/>
                <w:szCs w:val="22"/>
              </w:rPr>
            </w:pPr>
            <w:r w:rsidRPr="008D7391">
              <w:rPr>
                <w:sz w:val="22"/>
                <w:szCs w:val="22"/>
              </w:rPr>
              <w:t>Члены Комиссии:</w:t>
            </w:r>
          </w:p>
        </w:tc>
        <w:tc>
          <w:tcPr>
            <w:tcW w:w="5336" w:type="dxa"/>
          </w:tcPr>
          <w:p w:rsidR="00634FD4" w:rsidRPr="008D7391" w:rsidRDefault="00634FD4" w:rsidP="00313C1C">
            <w:pPr>
              <w:spacing w:line="360" w:lineRule="auto"/>
              <w:jc w:val="right"/>
              <w:rPr>
                <w:sz w:val="22"/>
                <w:szCs w:val="22"/>
              </w:rPr>
            </w:pPr>
            <w:r w:rsidRPr="008D7391">
              <w:rPr>
                <w:sz w:val="22"/>
                <w:szCs w:val="22"/>
              </w:rPr>
              <w:t>А.Н Шевченко</w:t>
            </w:r>
          </w:p>
        </w:tc>
      </w:tr>
      <w:tr w:rsidR="00634FD4" w:rsidRPr="008D7391" w:rsidTr="00634FD4">
        <w:tc>
          <w:tcPr>
            <w:tcW w:w="5120" w:type="dxa"/>
          </w:tcPr>
          <w:p w:rsidR="00634FD4" w:rsidRPr="008D7391" w:rsidRDefault="00634FD4" w:rsidP="00313C1C">
            <w:pPr>
              <w:spacing w:line="360" w:lineRule="auto"/>
              <w:jc w:val="both"/>
              <w:rPr>
                <w:sz w:val="22"/>
                <w:szCs w:val="22"/>
              </w:rPr>
            </w:pPr>
          </w:p>
        </w:tc>
        <w:tc>
          <w:tcPr>
            <w:tcW w:w="5336" w:type="dxa"/>
          </w:tcPr>
          <w:p w:rsidR="00634FD4" w:rsidRPr="008D7391" w:rsidRDefault="00634FD4" w:rsidP="00313C1C">
            <w:pPr>
              <w:spacing w:line="360" w:lineRule="auto"/>
              <w:jc w:val="right"/>
              <w:rPr>
                <w:sz w:val="22"/>
                <w:szCs w:val="22"/>
              </w:rPr>
            </w:pPr>
            <w:r w:rsidRPr="008D7391">
              <w:rPr>
                <w:sz w:val="22"/>
                <w:szCs w:val="22"/>
              </w:rPr>
              <w:t>Ш.М.Кусанова</w:t>
            </w:r>
          </w:p>
        </w:tc>
      </w:tr>
      <w:tr w:rsidR="00A31E5E" w:rsidRPr="008D7391" w:rsidTr="00634FD4">
        <w:tc>
          <w:tcPr>
            <w:tcW w:w="5120" w:type="dxa"/>
          </w:tcPr>
          <w:p w:rsidR="00A31E5E" w:rsidRPr="008D7391" w:rsidRDefault="00A31E5E" w:rsidP="00313C1C">
            <w:pPr>
              <w:spacing w:line="360" w:lineRule="auto"/>
              <w:jc w:val="both"/>
              <w:rPr>
                <w:sz w:val="22"/>
                <w:szCs w:val="22"/>
              </w:rPr>
            </w:pPr>
          </w:p>
        </w:tc>
        <w:tc>
          <w:tcPr>
            <w:tcW w:w="5336" w:type="dxa"/>
          </w:tcPr>
          <w:p w:rsidR="00A31E5E" w:rsidRPr="008D7391" w:rsidRDefault="00A31E5E" w:rsidP="00313C1C">
            <w:pPr>
              <w:spacing w:line="360" w:lineRule="auto"/>
              <w:jc w:val="right"/>
              <w:rPr>
                <w:sz w:val="22"/>
                <w:szCs w:val="22"/>
              </w:rPr>
            </w:pPr>
            <w:r w:rsidRPr="008D7391">
              <w:rPr>
                <w:sz w:val="22"/>
                <w:szCs w:val="22"/>
              </w:rPr>
              <w:t>А.П.Алексина</w:t>
            </w:r>
          </w:p>
        </w:tc>
      </w:tr>
    </w:tbl>
    <w:p w:rsidR="00CB3BE5" w:rsidRPr="008D7391" w:rsidRDefault="00CB3BE5" w:rsidP="00982E58">
      <w:pPr>
        <w:ind w:firstLine="709"/>
        <w:jc w:val="both"/>
        <w:rPr>
          <w:sz w:val="22"/>
          <w:szCs w:val="22"/>
        </w:rPr>
      </w:pPr>
    </w:p>
    <w:sectPr w:rsidR="00CB3BE5" w:rsidRPr="008D7391" w:rsidSect="001E58C0">
      <w:headerReference w:type="even" r:id="rId26"/>
      <w:headerReference w:type="default" r:id="rId27"/>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EAD" w:rsidRDefault="00376EAD">
      <w:r>
        <w:separator/>
      </w:r>
    </w:p>
  </w:endnote>
  <w:endnote w:type="continuationSeparator" w:id="1">
    <w:p w:rsidR="00376EAD" w:rsidRDefault="00376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EAD" w:rsidRDefault="00376EAD">
      <w:r>
        <w:separator/>
      </w:r>
    </w:p>
  </w:footnote>
  <w:footnote w:type="continuationSeparator" w:id="1">
    <w:p w:rsidR="00376EAD" w:rsidRDefault="0037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9C" w:rsidRDefault="003C5BA0" w:rsidP="008E7D00">
    <w:pPr>
      <w:pStyle w:val="ab"/>
      <w:framePr w:wrap="around" w:vAnchor="text" w:hAnchor="margin" w:xAlign="center" w:y="1"/>
      <w:rPr>
        <w:rStyle w:val="ac"/>
      </w:rPr>
    </w:pPr>
    <w:r>
      <w:rPr>
        <w:rStyle w:val="ac"/>
      </w:rPr>
      <w:fldChar w:fldCharType="begin"/>
    </w:r>
    <w:r w:rsidR="000A529C">
      <w:rPr>
        <w:rStyle w:val="ac"/>
      </w:rPr>
      <w:instrText xml:space="preserve">PAGE  </w:instrText>
    </w:r>
    <w:r>
      <w:rPr>
        <w:rStyle w:val="ac"/>
      </w:rPr>
      <w:fldChar w:fldCharType="end"/>
    </w:r>
  </w:p>
  <w:p w:rsidR="000A529C" w:rsidRDefault="000A529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9C" w:rsidRDefault="003C5BA0" w:rsidP="008E7D00">
    <w:pPr>
      <w:pStyle w:val="ab"/>
      <w:framePr w:wrap="around" w:vAnchor="text" w:hAnchor="page" w:x="6202" w:y="361"/>
      <w:rPr>
        <w:rStyle w:val="ac"/>
      </w:rPr>
    </w:pPr>
    <w:r>
      <w:rPr>
        <w:rStyle w:val="ac"/>
      </w:rPr>
      <w:fldChar w:fldCharType="begin"/>
    </w:r>
    <w:r w:rsidR="000A529C">
      <w:rPr>
        <w:rStyle w:val="ac"/>
      </w:rPr>
      <w:instrText xml:space="preserve">PAGE  </w:instrText>
    </w:r>
    <w:r>
      <w:rPr>
        <w:rStyle w:val="ac"/>
      </w:rPr>
      <w:fldChar w:fldCharType="separate"/>
    </w:r>
    <w:r w:rsidR="00312D38">
      <w:rPr>
        <w:rStyle w:val="ac"/>
        <w:noProof/>
      </w:rPr>
      <w:t>4</w:t>
    </w:r>
    <w:r>
      <w:rPr>
        <w:rStyle w:val="ac"/>
      </w:rPr>
      <w:fldChar w:fldCharType="end"/>
    </w:r>
  </w:p>
  <w:p w:rsidR="000A529C" w:rsidRDefault="000A529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39D2"/>
    <w:rsid w:val="00004BC8"/>
    <w:rsid w:val="00004E80"/>
    <w:rsid w:val="000051D6"/>
    <w:rsid w:val="000055D0"/>
    <w:rsid w:val="0001003C"/>
    <w:rsid w:val="00010836"/>
    <w:rsid w:val="00010A41"/>
    <w:rsid w:val="00011E06"/>
    <w:rsid w:val="00015F30"/>
    <w:rsid w:val="000210FF"/>
    <w:rsid w:val="00021756"/>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37046"/>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29C"/>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316"/>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0ED"/>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67FF9"/>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5F8"/>
    <w:rsid w:val="001A1AB0"/>
    <w:rsid w:val="001A2A48"/>
    <w:rsid w:val="001A359A"/>
    <w:rsid w:val="001A3A86"/>
    <w:rsid w:val="001A3DA9"/>
    <w:rsid w:val="001B016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D7CA9"/>
    <w:rsid w:val="001E1E83"/>
    <w:rsid w:val="001E205F"/>
    <w:rsid w:val="001E2EBF"/>
    <w:rsid w:val="001E3236"/>
    <w:rsid w:val="001E5240"/>
    <w:rsid w:val="001E57F2"/>
    <w:rsid w:val="001E58C0"/>
    <w:rsid w:val="001E637A"/>
    <w:rsid w:val="001E689D"/>
    <w:rsid w:val="001E715A"/>
    <w:rsid w:val="001F0CA9"/>
    <w:rsid w:val="001F0D8B"/>
    <w:rsid w:val="001F1FB7"/>
    <w:rsid w:val="001F2397"/>
    <w:rsid w:val="001F23F4"/>
    <w:rsid w:val="001F3055"/>
    <w:rsid w:val="001F4FDB"/>
    <w:rsid w:val="001F546F"/>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2D38"/>
    <w:rsid w:val="00313C1C"/>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AD"/>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79E"/>
    <w:rsid w:val="003C18DD"/>
    <w:rsid w:val="003C2800"/>
    <w:rsid w:val="003C2E61"/>
    <w:rsid w:val="003C3395"/>
    <w:rsid w:val="003C5BA0"/>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4F63"/>
    <w:rsid w:val="00444FAC"/>
    <w:rsid w:val="0044677B"/>
    <w:rsid w:val="00446A60"/>
    <w:rsid w:val="004478CD"/>
    <w:rsid w:val="00450EF1"/>
    <w:rsid w:val="0045100D"/>
    <w:rsid w:val="00451B9D"/>
    <w:rsid w:val="00451D9D"/>
    <w:rsid w:val="0046039C"/>
    <w:rsid w:val="004606CB"/>
    <w:rsid w:val="00460D7D"/>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6A79"/>
    <w:rsid w:val="004772DC"/>
    <w:rsid w:val="00477844"/>
    <w:rsid w:val="0048071D"/>
    <w:rsid w:val="00480C1D"/>
    <w:rsid w:val="004823DA"/>
    <w:rsid w:val="00482CF4"/>
    <w:rsid w:val="004843E1"/>
    <w:rsid w:val="00484ED3"/>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BBD"/>
    <w:rsid w:val="004B1DD8"/>
    <w:rsid w:val="004B4348"/>
    <w:rsid w:val="004B5086"/>
    <w:rsid w:val="004B565B"/>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A3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5DBA"/>
    <w:rsid w:val="004F715B"/>
    <w:rsid w:val="004F78CF"/>
    <w:rsid w:val="004F7C70"/>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DB1"/>
    <w:rsid w:val="0059745A"/>
    <w:rsid w:val="005A01E9"/>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FD4"/>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5967"/>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97A02"/>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11AC"/>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5869"/>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6A74"/>
    <w:rsid w:val="00877CD1"/>
    <w:rsid w:val="00877D16"/>
    <w:rsid w:val="008818C1"/>
    <w:rsid w:val="00881D06"/>
    <w:rsid w:val="008822DB"/>
    <w:rsid w:val="008825A9"/>
    <w:rsid w:val="00882681"/>
    <w:rsid w:val="0088460D"/>
    <w:rsid w:val="00884CC8"/>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3F71"/>
    <w:rsid w:val="008A62BC"/>
    <w:rsid w:val="008A7A5E"/>
    <w:rsid w:val="008B0C13"/>
    <w:rsid w:val="008B4485"/>
    <w:rsid w:val="008B45BE"/>
    <w:rsid w:val="008B4660"/>
    <w:rsid w:val="008B4F0B"/>
    <w:rsid w:val="008B5A47"/>
    <w:rsid w:val="008B68A1"/>
    <w:rsid w:val="008B7006"/>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D7391"/>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856"/>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2F41"/>
    <w:rsid w:val="009231E8"/>
    <w:rsid w:val="00923E09"/>
    <w:rsid w:val="00925BDB"/>
    <w:rsid w:val="00925E26"/>
    <w:rsid w:val="009275A5"/>
    <w:rsid w:val="00927CD8"/>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56685"/>
    <w:rsid w:val="009603A5"/>
    <w:rsid w:val="00960453"/>
    <w:rsid w:val="00960AC2"/>
    <w:rsid w:val="009618B8"/>
    <w:rsid w:val="00961A7E"/>
    <w:rsid w:val="009648E0"/>
    <w:rsid w:val="00965A16"/>
    <w:rsid w:val="00966080"/>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3EBD"/>
    <w:rsid w:val="009A5449"/>
    <w:rsid w:val="009A5A86"/>
    <w:rsid w:val="009B0F29"/>
    <w:rsid w:val="009B10E3"/>
    <w:rsid w:val="009B3753"/>
    <w:rsid w:val="009B536C"/>
    <w:rsid w:val="009B54C0"/>
    <w:rsid w:val="009B58F1"/>
    <w:rsid w:val="009B67B4"/>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7B3"/>
    <w:rsid w:val="00A108DC"/>
    <w:rsid w:val="00A10AC6"/>
    <w:rsid w:val="00A10E3D"/>
    <w:rsid w:val="00A14C82"/>
    <w:rsid w:val="00A15C90"/>
    <w:rsid w:val="00A15D9A"/>
    <w:rsid w:val="00A170DC"/>
    <w:rsid w:val="00A201CC"/>
    <w:rsid w:val="00A20D16"/>
    <w:rsid w:val="00A21D53"/>
    <w:rsid w:val="00A2690C"/>
    <w:rsid w:val="00A27406"/>
    <w:rsid w:val="00A31E5E"/>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34A"/>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76A"/>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1C8A"/>
    <w:rsid w:val="00B14FB3"/>
    <w:rsid w:val="00B17B60"/>
    <w:rsid w:val="00B17C34"/>
    <w:rsid w:val="00B200A3"/>
    <w:rsid w:val="00B214F2"/>
    <w:rsid w:val="00B22337"/>
    <w:rsid w:val="00B23AFF"/>
    <w:rsid w:val="00B24AB7"/>
    <w:rsid w:val="00B24FEA"/>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388"/>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1A62"/>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31F"/>
    <w:rsid w:val="00C677D9"/>
    <w:rsid w:val="00C70D64"/>
    <w:rsid w:val="00C7158E"/>
    <w:rsid w:val="00C71C66"/>
    <w:rsid w:val="00C71CFC"/>
    <w:rsid w:val="00C7490A"/>
    <w:rsid w:val="00C74A91"/>
    <w:rsid w:val="00C760FC"/>
    <w:rsid w:val="00C76968"/>
    <w:rsid w:val="00C779F8"/>
    <w:rsid w:val="00C81F45"/>
    <w:rsid w:val="00C825FC"/>
    <w:rsid w:val="00C826E6"/>
    <w:rsid w:val="00C84231"/>
    <w:rsid w:val="00C842BD"/>
    <w:rsid w:val="00C850E3"/>
    <w:rsid w:val="00C86976"/>
    <w:rsid w:val="00C87748"/>
    <w:rsid w:val="00C878A9"/>
    <w:rsid w:val="00C879FD"/>
    <w:rsid w:val="00C87E0F"/>
    <w:rsid w:val="00C91C69"/>
    <w:rsid w:val="00C91CCD"/>
    <w:rsid w:val="00C9583B"/>
    <w:rsid w:val="00C96065"/>
    <w:rsid w:val="00CA1FA3"/>
    <w:rsid w:val="00CA3812"/>
    <w:rsid w:val="00CA47BB"/>
    <w:rsid w:val="00CA4B74"/>
    <w:rsid w:val="00CA68A1"/>
    <w:rsid w:val="00CA74B2"/>
    <w:rsid w:val="00CB2B76"/>
    <w:rsid w:val="00CB3BE5"/>
    <w:rsid w:val="00CB429E"/>
    <w:rsid w:val="00CB6D68"/>
    <w:rsid w:val="00CB7620"/>
    <w:rsid w:val="00CB7808"/>
    <w:rsid w:val="00CC141C"/>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1BA6"/>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B55C5"/>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4FA1"/>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9BD"/>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2EEE"/>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3746"/>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6C2"/>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31"/>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03A3A9D6422F031667CFFB8F3D405B4DD5E95A2DF8392524D261F023AC5AD192018F2295BY707B" TargetMode="External"/><Relationship Id="rId18" Type="http://schemas.openxmlformats.org/officeDocument/2006/relationships/hyperlink" Target="consultantplus://offline/ref=B03A3A9D6422F031667CFFB8F3D405B4DD5E95A2DF8392524D261F023AC5AD192018F2295BY707B"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03A3A9D6422F031667CFFB8F3D405B4DD5E95A2DF8392524D261F023AC5AD192018F22D5D7078C9Y30AB" TargetMode="External"/><Relationship Id="rId7" Type="http://schemas.openxmlformats.org/officeDocument/2006/relationships/endnotes" Target="endnotes.xml"/><Relationship Id="rId12" Type="http://schemas.openxmlformats.org/officeDocument/2006/relationships/hyperlink" Target="consultantplus://offline/ref=B03A3A9D6422F031667CFFB8F3D405B4DD5E95A2DF8392524D261F023AC5AD192018F2295BY705B" TargetMode="External"/><Relationship Id="rId17" Type="http://schemas.openxmlformats.org/officeDocument/2006/relationships/hyperlink" Target="consultantplus://offline/ref=B03A3A9D6422F031667CFFB8F3D405B4DD5E95A2DF8392524D261F023AC5AD192018F2295BY705B" TargetMode="External"/><Relationship Id="rId25" Type="http://schemas.openxmlformats.org/officeDocument/2006/relationships/hyperlink" Target="consultantplus://offline/ref=0217476535676E74D50F35B700FF0EDE83C6F8182B46F83C67BF4C4AE96CEBC027962AE8D3E4V176H" TargetMode="External"/><Relationship Id="rId2" Type="http://schemas.openxmlformats.org/officeDocument/2006/relationships/numbering" Target="numbering.xml"/><Relationship Id="rId16" Type="http://schemas.openxmlformats.org/officeDocument/2006/relationships/hyperlink" Target="consultantplus://offline/ref=B03A3A9D6422F031667CFFB8F3D405B4DD5E95A2DF8392524D261F023AC5AD192018F2295BY703B" TargetMode="External"/><Relationship Id="rId20" Type="http://schemas.openxmlformats.org/officeDocument/2006/relationships/hyperlink" Target="consultantplus://offline/ref=B03A3A9D6422F031667CFFB8F3D405B4DD5E95A2DF8392524D261F023AC5AD192018F2295BY704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A3A9D6422F031667CFFB8F3D405B4DD5E95A2DF8392524D261F023AC5AD192018F2295BY703B" TargetMode="External"/><Relationship Id="rId24" Type="http://schemas.openxmlformats.org/officeDocument/2006/relationships/hyperlink" Target="consultantplus://offline/ref=0217476535676E74D50F35B700FF0EDE83C6F8182B46F83C67BF4C4AE96CEBC027962AEFD0VE7EH" TargetMode="External"/><Relationship Id="rId5" Type="http://schemas.openxmlformats.org/officeDocument/2006/relationships/webSettings" Target="webSettings.xml"/><Relationship Id="rId15" Type="http://schemas.openxmlformats.org/officeDocument/2006/relationships/hyperlink" Target="consultantplus://offline/ref=B03A3A9D6422F031667CFFB8F3D405B4DD5E95A2DF8392524D261F023AC5AD192018F2295BY701B" TargetMode="External"/><Relationship Id="rId23" Type="http://schemas.openxmlformats.org/officeDocument/2006/relationships/hyperlink" Target="consultantplus://offline/main?base=LAW;n=100596;fld=134;dst=629" TargetMode="External"/><Relationship Id="rId28" Type="http://schemas.openxmlformats.org/officeDocument/2006/relationships/fontTable" Target="fontTable.xml"/><Relationship Id="rId10" Type="http://schemas.openxmlformats.org/officeDocument/2006/relationships/hyperlink" Target="consultantplus://offline/ref=B03A3A9D6422F031667CFFB8F3D405B4DD5E95A2DF8392524D261F023AC5AD192018F2295BY701B" TargetMode="External"/><Relationship Id="rId19" Type="http://schemas.openxmlformats.org/officeDocument/2006/relationships/hyperlink" Target="consultantplus://offline/ref=B03A3A9D6422F031667CFFB8F3D405B4DD5E95A2DF8392524D261F023AC5AD192018F2295BY708B" TargetMode="External"/><Relationship Id="rId4" Type="http://schemas.openxmlformats.org/officeDocument/2006/relationships/settings" Target="settings.xml"/><Relationship Id="rId9" Type="http://schemas.openxmlformats.org/officeDocument/2006/relationships/hyperlink" Target="consultantplus://offline/ref=B03A3A9D6422F031667CFFB8F3D405B4DD5E95A2DF8392524D261F023AC5AD192018F22A5EY703B" TargetMode="External"/><Relationship Id="rId14" Type="http://schemas.openxmlformats.org/officeDocument/2006/relationships/hyperlink" Target="consultantplus://offline/ref=B03A3A9D6422F031667CFFB8F3D405B4DD5E95A2DF8392524D261F023AC5AD192018F2295BY708B" TargetMode="External"/><Relationship Id="rId22" Type="http://schemas.openxmlformats.org/officeDocument/2006/relationships/hyperlink" Target="consultantplus://offline/ref=4C2B24F793DBD9D4A437F914F4BC8CC257D3169C5EC2FF7B7FF9AE8AF03D308A684C79E7FFp911B"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4EED-A0D2-46F2-B145-B139ACA6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16074</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2013-03-26T04:51:00Z</cp:lastPrinted>
  <dcterms:created xsi:type="dcterms:W3CDTF">2013-03-26T04:58:00Z</dcterms:created>
  <dcterms:modified xsi:type="dcterms:W3CDTF">2013-03-26T04:58:00Z</dcterms:modified>
</cp:coreProperties>
</file>