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995A5B" w:rsidRDefault="00687098" w:rsidP="003D2EE4">
      <w:pPr>
        <w:jc w:val="center"/>
        <w:rPr>
          <w:b/>
          <w:sz w:val="22"/>
          <w:szCs w:val="22"/>
        </w:rPr>
      </w:pPr>
      <w:r w:rsidRPr="00995A5B">
        <w:rPr>
          <w:b/>
          <w:sz w:val="22"/>
          <w:szCs w:val="22"/>
        </w:rPr>
        <w:t>Решение № 03-10.1/</w:t>
      </w:r>
      <w:r w:rsidR="00C1746C" w:rsidRPr="00995A5B">
        <w:rPr>
          <w:b/>
          <w:sz w:val="22"/>
          <w:szCs w:val="22"/>
        </w:rPr>
        <w:t>137</w:t>
      </w:r>
      <w:r w:rsidRPr="00995A5B">
        <w:rPr>
          <w:b/>
          <w:sz w:val="22"/>
          <w:szCs w:val="22"/>
        </w:rPr>
        <w:t>-201</w:t>
      </w:r>
      <w:r w:rsidR="00655564" w:rsidRPr="00995A5B">
        <w:rPr>
          <w:b/>
          <w:sz w:val="22"/>
          <w:szCs w:val="22"/>
        </w:rPr>
        <w:t>3</w:t>
      </w:r>
    </w:p>
    <w:p w:rsidR="003F3F18" w:rsidRPr="00995A5B" w:rsidRDefault="00687098" w:rsidP="003D2EE4">
      <w:pPr>
        <w:jc w:val="center"/>
        <w:rPr>
          <w:snapToGrid w:val="0"/>
          <w:sz w:val="22"/>
          <w:szCs w:val="22"/>
        </w:rPr>
      </w:pPr>
      <w:r w:rsidRPr="00995A5B">
        <w:rPr>
          <w:snapToGrid w:val="0"/>
          <w:sz w:val="22"/>
          <w:szCs w:val="22"/>
        </w:rPr>
        <w:t>о признании жалоб</w:t>
      </w:r>
      <w:r w:rsidR="002372F2" w:rsidRPr="00995A5B">
        <w:rPr>
          <w:snapToGrid w:val="0"/>
          <w:sz w:val="22"/>
          <w:szCs w:val="22"/>
        </w:rPr>
        <w:t>ы</w:t>
      </w:r>
      <w:r w:rsidRPr="00995A5B">
        <w:rPr>
          <w:snapToGrid w:val="0"/>
          <w:sz w:val="22"/>
          <w:szCs w:val="22"/>
        </w:rPr>
        <w:t xml:space="preserve"> </w:t>
      </w:r>
      <w:r w:rsidR="00C1746C" w:rsidRPr="00995A5B">
        <w:rPr>
          <w:snapToGrid w:val="0"/>
          <w:sz w:val="22"/>
          <w:szCs w:val="22"/>
        </w:rPr>
        <w:t xml:space="preserve">частично </w:t>
      </w:r>
      <w:r w:rsidR="009F22C8" w:rsidRPr="00995A5B">
        <w:rPr>
          <w:snapToGrid w:val="0"/>
          <w:sz w:val="22"/>
          <w:szCs w:val="22"/>
        </w:rPr>
        <w:t>обоснованн</w:t>
      </w:r>
      <w:r w:rsidR="00A82F44" w:rsidRPr="00995A5B">
        <w:rPr>
          <w:snapToGrid w:val="0"/>
          <w:sz w:val="22"/>
          <w:szCs w:val="22"/>
        </w:rPr>
        <w:t>ой</w:t>
      </w:r>
    </w:p>
    <w:p w:rsidR="00F3257A" w:rsidRPr="00995A5B" w:rsidRDefault="00F3257A" w:rsidP="003D2EE4">
      <w:pPr>
        <w:jc w:val="center"/>
        <w:rPr>
          <w:snapToGrid w:val="0"/>
          <w:sz w:val="22"/>
          <w:szCs w:val="22"/>
        </w:rPr>
      </w:pPr>
    </w:p>
    <w:tbl>
      <w:tblPr>
        <w:tblW w:w="0" w:type="auto"/>
        <w:tblLook w:val="01E0"/>
      </w:tblPr>
      <w:tblGrid>
        <w:gridCol w:w="5211"/>
        <w:gridCol w:w="5211"/>
      </w:tblGrid>
      <w:tr w:rsidR="003F3F18" w:rsidRPr="00995A5B" w:rsidTr="000F587D">
        <w:tc>
          <w:tcPr>
            <w:tcW w:w="5211" w:type="dxa"/>
          </w:tcPr>
          <w:p w:rsidR="003F3F18" w:rsidRPr="00995A5B" w:rsidRDefault="00C1746C" w:rsidP="00C1746C">
            <w:pPr>
              <w:spacing w:after="60"/>
              <w:rPr>
                <w:snapToGrid w:val="0"/>
                <w:sz w:val="22"/>
                <w:szCs w:val="22"/>
              </w:rPr>
            </w:pPr>
            <w:r w:rsidRPr="00995A5B">
              <w:rPr>
                <w:snapToGrid w:val="0"/>
                <w:sz w:val="22"/>
                <w:szCs w:val="22"/>
              </w:rPr>
              <w:t>23</w:t>
            </w:r>
            <w:r w:rsidR="004F5C0D" w:rsidRPr="00995A5B">
              <w:rPr>
                <w:snapToGrid w:val="0"/>
                <w:sz w:val="22"/>
                <w:szCs w:val="22"/>
              </w:rPr>
              <w:t xml:space="preserve"> </w:t>
            </w:r>
            <w:r w:rsidRPr="00995A5B">
              <w:rPr>
                <w:snapToGrid w:val="0"/>
                <w:sz w:val="22"/>
                <w:szCs w:val="22"/>
              </w:rPr>
              <w:t>мая</w:t>
            </w:r>
            <w:r w:rsidR="003F3F18" w:rsidRPr="00995A5B">
              <w:rPr>
                <w:snapToGrid w:val="0"/>
                <w:sz w:val="22"/>
                <w:szCs w:val="22"/>
              </w:rPr>
              <w:t xml:space="preserve"> 201</w:t>
            </w:r>
            <w:r w:rsidR="00655564" w:rsidRPr="00995A5B">
              <w:rPr>
                <w:snapToGrid w:val="0"/>
                <w:sz w:val="22"/>
                <w:szCs w:val="22"/>
              </w:rPr>
              <w:t>3</w:t>
            </w:r>
            <w:r w:rsidR="003F3F18" w:rsidRPr="00995A5B">
              <w:rPr>
                <w:snapToGrid w:val="0"/>
                <w:sz w:val="22"/>
                <w:szCs w:val="22"/>
              </w:rPr>
              <w:t xml:space="preserve"> г.</w:t>
            </w:r>
          </w:p>
        </w:tc>
        <w:tc>
          <w:tcPr>
            <w:tcW w:w="5211" w:type="dxa"/>
          </w:tcPr>
          <w:p w:rsidR="003F3F18" w:rsidRPr="00995A5B" w:rsidRDefault="003B543D" w:rsidP="003D2EE4">
            <w:pPr>
              <w:spacing w:after="60"/>
              <w:jc w:val="right"/>
              <w:rPr>
                <w:snapToGrid w:val="0"/>
                <w:sz w:val="22"/>
                <w:szCs w:val="22"/>
              </w:rPr>
            </w:pPr>
            <w:r w:rsidRPr="00995A5B">
              <w:rPr>
                <w:snapToGrid w:val="0"/>
                <w:sz w:val="22"/>
                <w:szCs w:val="22"/>
              </w:rPr>
              <w:t>г</w:t>
            </w:r>
            <w:r w:rsidR="003F3F18" w:rsidRPr="00995A5B">
              <w:rPr>
                <w:snapToGrid w:val="0"/>
                <w:sz w:val="22"/>
                <w:szCs w:val="22"/>
              </w:rPr>
              <w:t>. Омск</w:t>
            </w:r>
          </w:p>
        </w:tc>
      </w:tr>
    </w:tbl>
    <w:p w:rsidR="00687098" w:rsidRPr="00995A5B" w:rsidRDefault="00687098" w:rsidP="003D2EE4">
      <w:pPr>
        <w:ind w:firstLine="709"/>
        <w:jc w:val="center"/>
        <w:rPr>
          <w:snapToGrid w:val="0"/>
          <w:sz w:val="22"/>
          <w:szCs w:val="22"/>
        </w:rPr>
      </w:pPr>
    </w:p>
    <w:p w:rsidR="00687098" w:rsidRPr="00995A5B" w:rsidRDefault="00687098" w:rsidP="00982E58">
      <w:pPr>
        <w:pStyle w:val="a8"/>
        <w:tabs>
          <w:tab w:val="left" w:pos="-2800"/>
        </w:tabs>
        <w:ind w:firstLine="709"/>
        <w:jc w:val="both"/>
        <w:rPr>
          <w:sz w:val="22"/>
          <w:szCs w:val="22"/>
        </w:rPr>
      </w:pPr>
      <w:r w:rsidRPr="00995A5B">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995A5B" w:rsidRDefault="00F01489" w:rsidP="00982E58">
      <w:pPr>
        <w:pStyle w:val="a8"/>
        <w:tabs>
          <w:tab w:val="left" w:pos="-2800"/>
        </w:tabs>
        <w:ind w:firstLine="709"/>
        <w:jc w:val="both"/>
        <w:rPr>
          <w:sz w:val="22"/>
          <w:szCs w:val="22"/>
        </w:rPr>
      </w:pPr>
      <w:r w:rsidRPr="00995A5B">
        <w:rPr>
          <w:sz w:val="22"/>
          <w:szCs w:val="22"/>
        </w:rPr>
        <w:t>Шмаковой Т.П. -  заместителя руководителя Управления, Председателя Комиссии;</w:t>
      </w:r>
    </w:p>
    <w:p w:rsidR="00655564" w:rsidRPr="00995A5B" w:rsidRDefault="00F01489" w:rsidP="00655564">
      <w:pPr>
        <w:pStyle w:val="a8"/>
        <w:tabs>
          <w:tab w:val="left" w:pos="-2800"/>
        </w:tabs>
        <w:ind w:firstLine="709"/>
        <w:jc w:val="both"/>
        <w:rPr>
          <w:sz w:val="22"/>
          <w:szCs w:val="22"/>
        </w:rPr>
      </w:pPr>
      <w:r w:rsidRPr="00995A5B">
        <w:rPr>
          <w:sz w:val="22"/>
          <w:szCs w:val="22"/>
        </w:rPr>
        <w:t>Шевченко А.Н. – ведущего специалиста-эксперта отдела контроля размещения государственного заказа, члена Комиссии;</w:t>
      </w:r>
      <w:r w:rsidR="00655564" w:rsidRPr="00995A5B">
        <w:rPr>
          <w:sz w:val="22"/>
          <w:szCs w:val="22"/>
        </w:rPr>
        <w:t xml:space="preserve"> </w:t>
      </w:r>
    </w:p>
    <w:p w:rsidR="00655564" w:rsidRPr="00995A5B" w:rsidRDefault="00655564" w:rsidP="00655564">
      <w:pPr>
        <w:pStyle w:val="a8"/>
        <w:tabs>
          <w:tab w:val="left" w:pos="-2800"/>
        </w:tabs>
        <w:ind w:firstLine="709"/>
        <w:jc w:val="both"/>
        <w:rPr>
          <w:sz w:val="22"/>
          <w:szCs w:val="22"/>
        </w:rPr>
      </w:pPr>
      <w:r w:rsidRPr="00995A5B">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995A5B" w:rsidRDefault="004F5C0D" w:rsidP="004F5C0D">
      <w:pPr>
        <w:pStyle w:val="a8"/>
        <w:tabs>
          <w:tab w:val="left" w:pos="-2800"/>
        </w:tabs>
        <w:ind w:firstLine="709"/>
        <w:jc w:val="both"/>
        <w:rPr>
          <w:sz w:val="22"/>
          <w:szCs w:val="22"/>
        </w:rPr>
      </w:pPr>
      <w:r w:rsidRPr="00995A5B">
        <w:rPr>
          <w:sz w:val="22"/>
          <w:szCs w:val="22"/>
        </w:rPr>
        <w:t>Кусановой Ш.М. – главного специалиста-эксперта отдела контроля размещения государс</w:t>
      </w:r>
      <w:r w:rsidR="00C1746C" w:rsidRPr="00995A5B">
        <w:rPr>
          <w:sz w:val="22"/>
          <w:szCs w:val="22"/>
        </w:rPr>
        <w:t>твенного заказа, члена Комиссии;</w:t>
      </w:r>
    </w:p>
    <w:p w:rsidR="00C1746C" w:rsidRPr="00995A5B" w:rsidRDefault="00C1746C" w:rsidP="00C1746C">
      <w:pPr>
        <w:pStyle w:val="a8"/>
        <w:tabs>
          <w:tab w:val="left" w:pos="-2800"/>
        </w:tabs>
        <w:ind w:firstLine="709"/>
        <w:jc w:val="both"/>
        <w:rPr>
          <w:sz w:val="22"/>
          <w:szCs w:val="22"/>
        </w:rPr>
      </w:pPr>
      <w:r w:rsidRPr="00995A5B">
        <w:rPr>
          <w:sz w:val="22"/>
          <w:szCs w:val="22"/>
        </w:rPr>
        <w:t>Алексиной А.П. – главного специалиста-эксперта отдела контроля размещения государственного заказа, члена Комиссии,</w:t>
      </w:r>
    </w:p>
    <w:p w:rsidR="00A60A32" w:rsidRPr="00995A5B" w:rsidRDefault="00687098" w:rsidP="00C1746C">
      <w:pPr>
        <w:pStyle w:val="ConsPlusNonformat"/>
        <w:widowControl/>
        <w:ind w:firstLine="654"/>
        <w:jc w:val="both"/>
        <w:outlineLvl w:val="0"/>
        <w:rPr>
          <w:rFonts w:ascii="Times New Roman" w:hAnsi="Times New Roman" w:cs="Times New Roman"/>
          <w:sz w:val="22"/>
          <w:szCs w:val="22"/>
        </w:rPr>
      </w:pPr>
      <w:r w:rsidRPr="00995A5B">
        <w:rPr>
          <w:rFonts w:ascii="Times New Roman" w:hAnsi="Times New Roman" w:cs="Times New Roman"/>
          <w:sz w:val="22"/>
          <w:szCs w:val="22"/>
        </w:rPr>
        <w:t>рассмотрев жалоб</w:t>
      </w:r>
      <w:r w:rsidR="00A82F44" w:rsidRPr="00995A5B">
        <w:rPr>
          <w:rFonts w:ascii="Times New Roman" w:hAnsi="Times New Roman" w:cs="Times New Roman"/>
          <w:sz w:val="22"/>
          <w:szCs w:val="22"/>
        </w:rPr>
        <w:t>у</w:t>
      </w:r>
      <w:r w:rsidR="00AE78FE" w:rsidRPr="00995A5B">
        <w:rPr>
          <w:rFonts w:ascii="Times New Roman" w:hAnsi="Times New Roman" w:cs="Times New Roman"/>
          <w:sz w:val="22"/>
          <w:szCs w:val="22"/>
        </w:rPr>
        <w:t xml:space="preserve"> </w:t>
      </w:r>
      <w:r w:rsidR="00AD7618" w:rsidRPr="00995A5B">
        <w:rPr>
          <w:rFonts w:ascii="Times New Roman" w:hAnsi="Times New Roman" w:cs="Times New Roman"/>
          <w:sz w:val="22"/>
          <w:szCs w:val="22"/>
        </w:rPr>
        <w:t>ООО «</w:t>
      </w:r>
      <w:r w:rsidR="00C1746C" w:rsidRPr="00995A5B">
        <w:rPr>
          <w:rFonts w:ascii="Times New Roman" w:hAnsi="Times New Roman" w:cs="Times New Roman"/>
          <w:sz w:val="22"/>
          <w:szCs w:val="22"/>
        </w:rPr>
        <w:t>Производственная фирма</w:t>
      </w:r>
      <w:r w:rsidR="00AD7618" w:rsidRPr="00995A5B">
        <w:rPr>
          <w:rFonts w:ascii="Times New Roman" w:hAnsi="Times New Roman" w:cs="Times New Roman"/>
          <w:sz w:val="22"/>
          <w:szCs w:val="22"/>
        </w:rPr>
        <w:t xml:space="preserve"> «</w:t>
      </w:r>
      <w:r w:rsidR="00C1746C" w:rsidRPr="00995A5B">
        <w:rPr>
          <w:rFonts w:ascii="Times New Roman" w:hAnsi="Times New Roman" w:cs="Times New Roman"/>
          <w:sz w:val="22"/>
          <w:szCs w:val="22"/>
        </w:rPr>
        <w:t>Барс</w:t>
      </w:r>
      <w:r w:rsidR="00AD7618" w:rsidRPr="00995A5B">
        <w:rPr>
          <w:rFonts w:ascii="Times New Roman" w:hAnsi="Times New Roman" w:cs="Times New Roman"/>
          <w:sz w:val="22"/>
          <w:szCs w:val="22"/>
        </w:rPr>
        <w:t xml:space="preserve">» (далее – Заявитель, Общество) на действия </w:t>
      </w:r>
      <w:r w:rsidR="00CA607B">
        <w:rPr>
          <w:rFonts w:ascii="Times New Roman" w:hAnsi="Times New Roman" w:cs="Times New Roman"/>
          <w:sz w:val="22"/>
          <w:szCs w:val="22"/>
        </w:rPr>
        <w:t>заказчика – Ф</w:t>
      </w:r>
      <w:r w:rsidR="00C1746C" w:rsidRPr="00995A5B">
        <w:rPr>
          <w:rFonts w:ascii="Times New Roman" w:hAnsi="Times New Roman" w:cs="Times New Roman"/>
          <w:sz w:val="22"/>
          <w:szCs w:val="22"/>
        </w:rPr>
        <w:t xml:space="preserve">едеральное казенное учреждение здравоохранения «Медико-санитарная часть Министерства внутренних дел Российской Федерации по Омской области» и его аукционной комиссии (далее – аукционная комиссия, Заказчик) при проведении открытого аукциона в электронной форме </w:t>
      </w:r>
      <w:r w:rsidR="00C1746C" w:rsidRPr="00995A5B">
        <w:rPr>
          <w:rStyle w:val="iceouttxt1"/>
          <w:rFonts w:ascii="Times New Roman" w:hAnsi="Times New Roman" w:cs="Times New Roman"/>
          <w:color w:val="auto"/>
          <w:sz w:val="22"/>
          <w:szCs w:val="22"/>
        </w:rPr>
        <w:t>н</w:t>
      </w:r>
      <w:r w:rsidR="00C1746C" w:rsidRPr="00995A5B">
        <w:rPr>
          <w:rFonts w:ascii="Times New Roman" w:hAnsi="Times New Roman" w:cs="Times New Roman"/>
          <w:sz w:val="22"/>
          <w:szCs w:val="22"/>
        </w:rPr>
        <w:t xml:space="preserve">а право заключения государственного контракта на выполнение работ по капитальному ремонту (замена окон) госпиталя ФКУЗ «МСЧ МВД России по Омской области» </w:t>
      </w:r>
      <w:r w:rsidR="00C1746C" w:rsidRPr="00995A5B">
        <w:rPr>
          <w:rStyle w:val="iceouttxt1"/>
          <w:rFonts w:ascii="Times New Roman" w:hAnsi="Times New Roman" w:cs="Times New Roman"/>
          <w:color w:val="auto"/>
          <w:sz w:val="22"/>
          <w:szCs w:val="22"/>
        </w:rPr>
        <w:t>(извещение № 0352100006013000041)</w:t>
      </w:r>
      <w:r w:rsidR="004F5C0D" w:rsidRPr="00995A5B">
        <w:rPr>
          <w:rStyle w:val="iceouttxt1"/>
          <w:rFonts w:ascii="Times New Roman" w:hAnsi="Times New Roman" w:cs="Times New Roman"/>
          <w:color w:val="auto"/>
          <w:sz w:val="22"/>
          <w:szCs w:val="22"/>
        </w:rPr>
        <w:t xml:space="preserve"> </w:t>
      </w:r>
      <w:r w:rsidR="00D00CC5" w:rsidRPr="00995A5B">
        <w:rPr>
          <w:rStyle w:val="iceouttxt1"/>
          <w:rFonts w:ascii="Times New Roman" w:hAnsi="Times New Roman" w:cs="Times New Roman"/>
          <w:color w:val="auto"/>
          <w:sz w:val="22"/>
          <w:szCs w:val="22"/>
        </w:rPr>
        <w:t xml:space="preserve">(далее – открытый </w:t>
      </w:r>
      <w:r w:rsidR="004F5C0D" w:rsidRPr="00995A5B">
        <w:rPr>
          <w:rStyle w:val="iceouttxt1"/>
          <w:rFonts w:ascii="Times New Roman" w:hAnsi="Times New Roman" w:cs="Times New Roman"/>
          <w:color w:val="auto"/>
          <w:sz w:val="22"/>
          <w:szCs w:val="22"/>
        </w:rPr>
        <w:t>аукцион</w:t>
      </w:r>
      <w:r w:rsidR="00D00CC5" w:rsidRPr="00995A5B">
        <w:rPr>
          <w:rStyle w:val="iceouttxt1"/>
          <w:rFonts w:ascii="Times New Roman" w:hAnsi="Times New Roman" w:cs="Times New Roman"/>
          <w:color w:val="auto"/>
          <w:sz w:val="22"/>
          <w:szCs w:val="22"/>
        </w:rPr>
        <w:t>)</w:t>
      </w:r>
      <w:r w:rsidR="00A60A32" w:rsidRPr="00995A5B">
        <w:rPr>
          <w:rFonts w:ascii="Times New Roman" w:hAnsi="Times New Roman" w:cs="Times New Roman"/>
          <w:sz w:val="22"/>
          <w:szCs w:val="22"/>
        </w:rPr>
        <w:t>,</w:t>
      </w:r>
    </w:p>
    <w:p w:rsidR="00AD7618" w:rsidRPr="00AA40D9" w:rsidRDefault="00A60A32" w:rsidP="00AA40D9">
      <w:pPr>
        <w:tabs>
          <w:tab w:val="left" w:pos="654"/>
        </w:tabs>
        <w:ind w:firstLine="709"/>
        <w:jc w:val="both"/>
        <w:rPr>
          <w:snapToGrid w:val="0"/>
          <w:sz w:val="22"/>
          <w:szCs w:val="22"/>
        </w:rPr>
      </w:pPr>
      <w:r w:rsidRPr="00995A5B">
        <w:rPr>
          <w:snapToGrid w:val="0"/>
          <w:sz w:val="22"/>
          <w:szCs w:val="22"/>
        </w:rPr>
        <w:t xml:space="preserve">в присутствии </w:t>
      </w:r>
      <w:r w:rsidR="00AA40D9">
        <w:rPr>
          <w:snapToGrid w:val="0"/>
          <w:sz w:val="22"/>
          <w:szCs w:val="22"/>
          <w:lang w:val="en-US"/>
        </w:rPr>
        <w:t>&lt;…&gt;</w:t>
      </w:r>
      <w:r w:rsidR="00AA40D9">
        <w:rPr>
          <w:snapToGrid w:val="0"/>
          <w:sz w:val="22"/>
          <w:szCs w:val="22"/>
        </w:rPr>
        <w:t>,</w:t>
      </w:r>
    </w:p>
    <w:p w:rsidR="000A21C2" w:rsidRPr="00995A5B" w:rsidRDefault="000A21C2" w:rsidP="00CC66D4">
      <w:pPr>
        <w:ind w:firstLine="709"/>
        <w:jc w:val="both"/>
        <w:rPr>
          <w:spacing w:val="60"/>
          <w:sz w:val="22"/>
          <w:szCs w:val="22"/>
        </w:rPr>
      </w:pPr>
    </w:p>
    <w:p w:rsidR="00687098" w:rsidRPr="00995A5B" w:rsidRDefault="00E07BB4" w:rsidP="00982E58">
      <w:pPr>
        <w:jc w:val="center"/>
        <w:rPr>
          <w:spacing w:val="60"/>
          <w:sz w:val="22"/>
          <w:szCs w:val="22"/>
        </w:rPr>
      </w:pPr>
      <w:r w:rsidRPr="00995A5B">
        <w:rPr>
          <w:spacing w:val="60"/>
          <w:sz w:val="22"/>
          <w:szCs w:val="22"/>
        </w:rPr>
        <w:t>УСТАНОВИЛА</w:t>
      </w:r>
      <w:r w:rsidR="00687098" w:rsidRPr="00995A5B">
        <w:rPr>
          <w:spacing w:val="60"/>
          <w:sz w:val="22"/>
          <w:szCs w:val="22"/>
        </w:rPr>
        <w:t>:</w:t>
      </w:r>
    </w:p>
    <w:p w:rsidR="00687098" w:rsidRPr="00995A5B" w:rsidRDefault="00687098" w:rsidP="00982E58">
      <w:pPr>
        <w:ind w:firstLine="709"/>
        <w:jc w:val="center"/>
        <w:rPr>
          <w:snapToGrid w:val="0"/>
          <w:sz w:val="22"/>
          <w:szCs w:val="22"/>
        </w:rPr>
      </w:pPr>
    </w:p>
    <w:p w:rsidR="009315C5" w:rsidRPr="00995A5B" w:rsidRDefault="00687098" w:rsidP="009315C5">
      <w:pPr>
        <w:autoSpaceDE w:val="0"/>
        <w:autoSpaceDN w:val="0"/>
        <w:adjustRightInd w:val="0"/>
        <w:ind w:right="-41" w:firstLine="708"/>
        <w:jc w:val="both"/>
        <w:rPr>
          <w:sz w:val="22"/>
          <w:szCs w:val="22"/>
        </w:rPr>
      </w:pPr>
      <w:r w:rsidRPr="00995A5B">
        <w:rPr>
          <w:b/>
          <w:sz w:val="22"/>
          <w:szCs w:val="22"/>
        </w:rPr>
        <w:t>1.</w:t>
      </w:r>
      <w:r w:rsidRPr="00995A5B">
        <w:rPr>
          <w:sz w:val="22"/>
          <w:szCs w:val="22"/>
        </w:rPr>
        <w:t xml:space="preserve"> </w:t>
      </w:r>
      <w:r w:rsidR="00BD7AB4" w:rsidRPr="00995A5B">
        <w:rPr>
          <w:sz w:val="22"/>
          <w:szCs w:val="22"/>
        </w:rPr>
        <w:t xml:space="preserve">В  Омское  </w:t>
      </w:r>
      <w:r w:rsidR="008C2BD5" w:rsidRPr="00995A5B">
        <w:rPr>
          <w:sz w:val="22"/>
          <w:szCs w:val="22"/>
        </w:rPr>
        <w:t xml:space="preserve">УФАС  России  поступила жалоба </w:t>
      </w:r>
      <w:r w:rsidR="00EE35ED" w:rsidRPr="00995A5B">
        <w:rPr>
          <w:sz w:val="22"/>
          <w:szCs w:val="22"/>
        </w:rPr>
        <w:t>З</w:t>
      </w:r>
      <w:r w:rsidR="00BD7AB4" w:rsidRPr="00995A5B">
        <w:rPr>
          <w:sz w:val="22"/>
          <w:szCs w:val="22"/>
        </w:rPr>
        <w:t xml:space="preserve">аявителя (вх. № </w:t>
      </w:r>
      <w:r w:rsidR="00C1746C" w:rsidRPr="00995A5B">
        <w:rPr>
          <w:sz w:val="22"/>
          <w:szCs w:val="22"/>
        </w:rPr>
        <w:t>4556э</w:t>
      </w:r>
      <w:r w:rsidR="00BD7AB4" w:rsidRPr="00995A5B">
        <w:rPr>
          <w:sz w:val="22"/>
          <w:szCs w:val="22"/>
        </w:rPr>
        <w:t xml:space="preserve"> от </w:t>
      </w:r>
      <w:r w:rsidR="00C1746C" w:rsidRPr="00995A5B">
        <w:rPr>
          <w:sz w:val="22"/>
          <w:szCs w:val="22"/>
        </w:rPr>
        <w:t>16</w:t>
      </w:r>
      <w:r w:rsidR="00BD7AB4" w:rsidRPr="00995A5B">
        <w:rPr>
          <w:sz w:val="22"/>
          <w:szCs w:val="22"/>
        </w:rPr>
        <w:t>.</w:t>
      </w:r>
      <w:r w:rsidR="008678AC" w:rsidRPr="00995A5B">
        <w:rPr>
          <w:sz w:val="22"/>
          <w:szCs w:val="22"/>
        </w:rPr>
        <w:t>0</w:t>
      </w:r>
      <w:r w:rsidR="00C1746C" w:rsidRPr="00995A5B">
        <w:rPr>
          <w:sz w:val="22"/>
          <w:szCs w:val="22"/>
        </w:rPr>
        <w:t>5</w:t>
      </w:r>
      <w:r w:rsidR="00BD7AB4" w:rsidRPr="00995A5B">
        <w:rPr>
          <w:sz w:val="22"/>
          <w:szCs w:val="22"/>
        </w:rPr>
        <w:t>.201</w:t>
      </w:r>
      <w:r w:rsidR="008678AC" w:rsidRPr="00995A5B">
        <w:rPr>
          <w:sz w:val="22"/>
          <w:szCs w:val="22"/>
        </w:rPr>
        <w:t>3</w:t>
      </w:r>
      <w:r w:rsidR="00BD7AB4" w:rsidRPr="00995A5B">
        <w:rPr>
          <w:sz w:val="22"/>
          <w:szCs w:val="22"/>
        </w:rPr>
        <w:t>)</w:t>
      </w:r>
      <w:r w:rsidR="00C14F72" w:rsidRPr="00995A5B">
        <w:rPr>
          <w:sz w:val="22"/>
          <w:szCs w:val="22"/>
        </w:rPr>
        <w:t xml:space="preserve">, в которой указано, </w:t>
      </w:r>
      <w:r w:rsidR="00F1788C" w:rsidRPr="00995A5B">
        <w:rPr>
          <w:sz w:val="22"/>
          <w:szCs w:val="22"/>
        </w:rPr>
        <w:t xml:space="preserve">что </w:t>
      </w:r>
      <w:r w:rsidR="00C1746C" w:rsidRPr="00995A5B">
        <w:rPr>
          <w:sz w:val="22"/>
          <w:szCs w:val="22"/>
        </w:rPr>
        <w:t>аукционная</w:t>
      </w:r>
      <w:r w:rsidR="00640CEC" w:rsidRPr="00995A5B">
        <w:rPr>
          <w:sz w:val="22"/>
          <w:szCs w:val="22"/>
        </w:rPr>
        <w:t xml:space="preserve"> комиссия</w:t>
      </w:r>
      <w:r w:rsidR="006E3E23" w:rsidRPr="00995A5B">
        <w:rPr>
          <w:sz w:val="22"/>
          <w:szCs w:val="22"/>
        </w:rPr>
        <w:t xml:space="preserve"> </w:t>
      </w:r>
      <w:r w:rsidR="00F1788C" w:rsidRPr="00995A5B">
        <w:rPr>
          <w:sz w:val="22"/>
          <w:szCs w:val="22"/>
        </w:rPr>
        <w:t>нарушил</w:t>
      </w:r>
      <w:r w:rsidR="00640CEC" w:rsidRPr="00995A5B">
        <w:rPr>
          <w:sz w:val="22"/>
          <w:szCs w:val="22"/>
        </w:rPr>
        <w:t>а</w:t>
      </w:r>
      <w:r w:rsidR="00F1788C" w:rsidRPr="00995A5B">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995A5B">
        <w:rPr>
          <w:sz w:val="22"/>
          <w:szCs w:val="22"/>
        </w:rPr>
        <w:t>,</w:t>
      </w:r>
      <w:r w:rsidR="005B31DC" w:rsidRPr="00995A5B">
        <w:rPr>
          <w:sz w:val="22"/>
          <w:szCs w:val="22"/>
        </w:rPr>
        <w:t xml:space="preserve"> </w:t>
      </w:r>
      <w:r w:rsidR="00640CEC" w:rsidRPr="00995A5B">
        <w:rPr>
          <w:sz w:val="22"/>
          <w:szCs w:val="22"/>
        </w:rPr>
        <w:t>неправомерно отказав Обществу в допуске к участию в аукционе.</w:t>
      </w:r>
    </w:p>
    <w:p w:rsidR="00EE4ABA" w:rsidRPr="00995A5B" w:rsidRDefault="00EE4ABA" w:rsidP="00982E58">
      <w:pPr>
        <w:tabs>
          <w:tab w:val="left" w:pos="-1820"/>
          <w:tab w:val="left" w:pos="700"/>
        </w:tabs>
        <w:ind w:firstLine="709"/>
        <w:jc w:val="both"/>
        <w:rPr>
          <w:b/>
          <w:sz w:val="22"/>
          <w:szCs w:val="22"/>
        </w:rPr>
      </w:pPr>
    </w:p>
    <w:p w:rsidR="001B4359" w:rsidRPr="00995A5B" w:rsidRDefault="00134DAA" w:rsidP="00982E58">
      <w:pPr>
        <w:tabs>
          <w:tab w:val="left" w:pos="-1820"/>
          <w:tab w:val="left" w:pos="700"/>
        </w:tabs>
        <w:ind w:firstLine="709"/>
        <w:jc w:val="both"/>
        <w:rPr>
          <w:sz w:val="22"/>
          <w:szCs w:val="22"/>
        </w:rPr>
      </w:pPr>
      <w:r w:rsidRPr="00995A5B">
        <w:rPr>
          <w:b/>
          <w:sz w:val="22"/>
          <w:szCs w:val="22"/>
        </w:rPr>
        <w:t xml:space="preserve">2. </w:t>
      </w:r>
      <w:r w:rsidR="001B4359" w:rsidRPr="00995A5B">
        <w:rPr>
          <w:sz w:val="22"/>
          <w:szCs w:val="22"/>
        </w:rPr>
        <w:t>На запрос О</w:t>
      </w:r>
      <w:r w:rsidR="008C2BD5" w:rsidRPr="00995A5B">
        <w:rPr>
          <w:sz w:val="22"/>
          <w:szCs w:val="22"/>
        </w:rPr>
        <w:t>мского УФАС России (исх. № 03-</w:t>
      </w:r>
      <w:r w:rsidR="00C1746C" w:rsidRPr="00995A5B">
        <w:rPr>
          <w:sz w:val="22"/>
          <w:szCs w:val="22"/>
        </w:rPr>
        <w:t>3104</w:t>
      </w:r>
      <w:r w:rsidR="008C2BD5" w:rsidRPr="00995A5B">
        <w:rPr>
          <w:sz w:val="22"/>
          <w:szCs w:val="22"/>
        </w:rPr>
        <w:t xml:space="preserve"> от </w:t>
      </w:r>
      <w:r w:rsidR="00C1746C" w:rsidRPr="00995A5B">
        <w:rPr>
          <w:sz w:val="22"/>
          <w:szCs w:val="22"/>
        </w:rPr>
        <w:t>17</w:t>
      </w:r>
      <w:r w:rsidR="008C2BD5" w:rsidRPr="00995A5B">
        <w:rPr>
          <w:sz w:val="22"/>
          <w:szCs w:val="22"/>
        </w:rPr>
        <w:t>.</w:t>
      </w:r>
      <w:r w:rsidR="00BB3BF6" w:rsidRPr="00995A5B">
        <w:rPr>
          <w:sz w:val="22"/>
          <w:szCs w:val="22"/>
        </w:rPr>
        <w:t>0</w:t>
      </w:r>
      <w:r w:rsidR="00C1746C" w:rsidRPr="00995A5B">
        <w:rPr>
          <w:sz w:val="22"/>
          <w:szCs w:val="22"/>
        </w:rPr>
        <w:t>5</w:t>
      </w:r>
      <w:r w:rsidR="001B4359" w:rsidRPr="00995A5B">
        <w:rPr>
          <w:sz w:val="22"/>
          <w:szCs w:val="22"/>
        </w:rPr>
        <w:t>.201</w:t>
      </w:r>
      <w:r w:rsidR="00BB3BF6" w:rsidRPr="00995A5B">
        <w:rPr>
          <w:sz w:val="22"/>
          <w:szCs w:val="22"/>
        </w:rPr>
        <w:t>3</w:t>
      </w:r>
      <w:r w:rsidR="001B4359" w:rsidRPr="00995A5B">
        <w:rPr>
          <w:sz w:val="22"/>
          <w:szCs w:val="22"/>
        </w:rPr>
        <w:t xml:space="preserve">) </w:t>
      </w:r>
      <w:r w:rsidR="00C1746C" w:rsidRPr="00995A5B">
        <w:rPr>
          <w:sz w:val="22"/>
          <w:szCs w:val="22"/>
        </w:rPr>
        <w:t>Заказчиком</w:t>
      </w:r>
      <w:r w:rsidR="001B4359" w:rsidRPr="00995A5B">
        <w:rPr>
          <w:sz w:val="22"/>
          <w:szCs w:val="22"/>
        </w:rPr>
        <w:t xml:space="preserve"> были представлены мате</w:t>
      </w:r>
      <w:r w:rsidR="008E608D" w:rsidRPr="00995A5B">
        <w:rPr>
          <w:sz w:val="22"/>
          <w:szCs w:val="22"/>
        </w:rPr>
        <w:t xml:space="preserve">риалы открытого </w:t>
      </w:r>
      <w:r w:rsidR="004F5C0D" w:rsidRPr="00995A5B">
        <w:rPr>
          <w:sz w:val="22"/>
          <w:szCs w:val="22"/>
        </w:rPr>
        <w:t>аукцион</w:t>
      </w:r>
      <w:r w:rsidR="00C84231" w:rsidRPr="00995A5B">
        <w:rPr>
          <w:sz w:val="22"/>
          <w:szCs w:val="22"/>
        </w:rPr>
        <w:t>а</w:t>
      </w:r>
      <w:r w:rsidR="006E3E23" w:rsidRPr="00995A5B">
        <w:rPr>
          <w:sz w:val="22"/>
          <w:szCs w:val="22"/>
        </w:rPr>
        <w:t xml:space="preserve"> (вх. № </w:t>
      </w:r>
      <w:r w:rsidR="00C1746C" w:rsidRPr="00995A5B">
        <w:rPr>
          <w:sz w:val="22"/>
          <w:szCs w:val="22"/>
        </w:rPr>
        <w:t>4727</w:t>
      </w:r>
      <w:r w:rsidR="000A21C2" w:rsidRPr="00995A5B">
        <w:rPr>
          <w:sz w:val="22"/>
          <w:szCs w:val="22"/>
        </w:rPr>
        <w:t xml:space="preserve"> от </w:t>
      </w:r>
      <w:r w:rsidR="008D358A" w:rsidRPr="00995A5B">
        <w:rPr>
          <w:sz w:val="22"/>
          <w:szCs w:val="22"/>
        </w:rPr>
        <w:t>2</w:t>
      </w:r>
      <w:r w:rsidR="00C1746C" w:rsidRPr="00995A5B">
        <w:rPr>
          <w:sz w:val="22"/>
          <w:szCs w:val="22"/>
        </w:rPr>
        <w:t>1</w:t>
      </w:r>
      <w:r w:rsidR="000A21C2" w:rsidRPr="00995A5B">
        <w:rPr>
          <w:sz w:val="22"/>
          <w:szCs w:val="22"/>
        </w:rPr>
        <w:t>.</w:t>
      </w:r>
      <w:r w:rsidR="00BB3BF6" w:rsidRPr="00995A5B">
        <w:rPr>
          <w:sz w:val="22"/>
          <w:szCs w:val="22"/>
        </w:rPr>
        <w:t>0</w:t>
      </w:r>
      <w:r w:rsidR="00C1746C" w:rsidRPr="00995A5B">
        <w:rPr>
          <w:sz w:val="22"/>
          <w:szCs w:val="22"/>
        </w:rPr>
        <w:t>5</w:t>
      </w:r>
      <w:r w:rsidR="000A21C2" w:rsidRPr="00995A5B">
        <w:rPr>
          <w:sz w:val="22"/>
          <w:szCs w:val="22"/>
        </w:rPr>
        <w:t>.201</w:t>
      </w:r>
      <w:r w:rsidR="00BB3BF6" w:rsidRPr="00995A5B">
        <w:rPr>
          <w:sz w:val="22"/>
          <w:szCs w:val="22"/>
        </w:rPr>
        <w:t>3</w:t>
      </w:r>
      <w:r w:rsidR="000A21C2" w:rsidRPr="00995A5B">
        <w:rPr>
          <w:sz w:val="22"/>
          <w:szCs w:val="22"/>
        </w:rPr>
        <w:t>)</w:t>
      </w:r>
      <w:r w:rsidR="00D00CC5" w:rsidRPr="00995A5B">
        <w:rPr>
          <w:sz w:val="22"/>
          <w:szCs w:val="22"/>
        </w:rPr>
        <w:t>.</w:t>
      </w:r>
    </w:p>
    <w:p w:rsidR="001B4359" w:rsidRPr="00995A5B" w:rsidRDefault="001B4359" w:rsidP="008D358A">
      <w:pPr>
        <w:autoSpaceDE w:val="0"/>
        <w:autoSpaceDN w:val="0"/>
        <w:adjustRightInd w:val="0"/>
        <w:ind w:firstLine="709"/>
        <w:jc w:val="both"/>
        <w:outlineLvl w:val="1"/>
        <w:rPr>
          <w:sz w:val="22"/>
          <w:szCs w:val="22"/>
        </w:rPr>
      </w:pPr>
      <w:r w:rsidRPr="00995A5B">
        <w:rPr>
          <w:sz w:val="22"/>
          <w:szCs w:val="22"/>
        </w:rPr>
        <w:t xml:space="preserve">Из представленных материалов открытого </w:t>
      </w:r>
      <w:r w:rsidR="004F5C0D" w:rsidRPr="00995A5B">
        <w:rPr>
          <w:sz w:val="22"/>
          <w:szCs w:val="22"/>
        </w:rPr>
        <w:t>аукцион</w:t>
      </w:r>
      <w:r w:rsidRPr="00995A5B">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995A5B">
        <w:rPr>
          <w:sz w:val="22"/>
          <w:szCs w:val="22"/>
          <w:lang w:val="en-US"/>
        </w:rPr>
        <w:t>www</w:t>
      </w:r>
      <w:r w:rsidRPr="00995A5B">
        <w:rPr>
          <w:sz w:val="22"/>
          <w:szCs w:val="22"/>
        </w:rPr>
        <w:t>.</w:t>
      </w:r>
      <w:r w:rsidRPr="00995A5B">
        <w:rPr>
          <w:sz w:val="22"/>
          <w:szCs w:val="22"/>
          <w:lang w:val="en-US"/>
        </w:rPr>
        <w:t>zakupki</w:t>
      </w:r>
      <w:r w:rsidRPr="00995A5B">
        <w:rPr>
          <w:sz w:val="22"/>
          <w:szCs w:val="22"/>
        </w:rPr>
        <w:t>.</w:t>
      </w:r>
      <w:r w:rsidRPr="00995A5B">
        <w:rPr>
          <w:sz w:val="22"/>
          <w:szCs w:val="22"/>
          <w:lang w:val="en-US"/>
        </w:rPr>
        <w:t>gov</w:t>
      </w:r>
      <w:r w:rsidRPr="00995A5B">
        <w:rPr>
          <w:sz w:val="22"/>
          <w:szCs w:val="22"/>
        </w:rPr>
        <w:t>.</w:t>
      </w:r>
      <w:r w:rsidRPr="00995A5B">
        <w:rPr>
          <w:sz w:val="22"/>
          <w:szCs w:val="22"/>
          <w:lang w:val="en-US"/>
        </w:rPr>
        <w:t>ru</w:t>
      </w:r>
      <w:r w:rsidRPr="00995A5B">
        <w:rPr>
          <w:sz w:val="22"/>
          <w:szCs w:val="22"/>
        </w:rPr>
        <w:t xml:space="preserve"> (далее - официальный сайт)</w:t>
      </w:r>
      <w:r w:rsidR="004E170E" w:rsidRPr="00995A5B">
        <w:rPr>
          <w:sz w:val="22"/>
          <w:szCs w:val="22"/>
        </w:rPr>
        <w:t>,</w:t>
      </w:r>
      <w:r w:rsidRPr="00995A5B">
        <w:rPr>
          <w:sz w:val="22"/>
          <w:szCs w:val="22"/>
        </w:rPr>
        <w:t xml:space="preserve"> следует, что </w:t>
      </w:r>
      <w:r w:rsidR="00C1746C" w:rsidRPr="00995A5B">
        <w:rPr>
          <w:sz w:val="22"/>
          <w:szCs w:val="22"/>
        </w:rPr>
        <w:t>22</w:t>
      </w:r>
      <w:r w:rsidR="00004E80" w:rsidRPr="00995A5B">
        <w:rPr>
          <w:sz w:val="22"/>
          <w:szCs w:val="22"/>
        </w:rPr>
        <w:t>.</w:t>
      </w:r>
      <w:r w:rsidR="00DB1469" w:rsidRPr="00995A5B">
        <w:rPr>
          <w:sz w:val="22"/>
          <w:szCs w:val="22"/>
        </w:rPr>
        <w:t>0</w:t>
      </w:r>
      <w:r w:rsidR="00C1746C" w:rsidRPr="00995A5B">
        <w:rPr>
          <w:sz w:val="22"/>
          <w:szCs w:val="22"/>
        </w:rPr>
        <w:t>4</w:t>
      </w:r>
      <w:r w:rsidR="00004E80" w:rsidRPr="00995A5B">
        <w:rPr>
          <w:sz w:val="22"/>
          <w:szCs w:val="22"/>
        </w:rPr>
        <w:t>.</w:t>
      </w:r>
      <w:r w:rsidR="008C2BD5" w:rsidRPr="00995A5B">
        <w:rPr>
          <w:sz w:val="22"/>
          <w:szCs w:val="22"/>
        </w:rPr>
        <w:t>201</w:t>
      </w:r>
      <w:r w:rsidR="00DB1469" w:rsidRPr="00995A5B">
        <w:rPr>
          <w:sz w:val="22"/>
          <w:szCs w:val="22"/>
        </w:rPr>
        <w:t>3</w:t>
      </w:r>
      <w:r w:rsidR="008C2BD5" w:rsidRPr="00995A5B">
        <w:rPr>
          <w:sz w:val="22"/>
          <w:szCs w:val="22"/>
        </w:rPr>
        <w:t xml:space="preserve"> на указанном сайте </w:t>
      </w:r>
      <w:r w:rsidR="00C1746C" w:rsidRPr="00995A5B">
        <w:rPr>
          <w:sz w:val="22"/>
          <w:szCs w:val="22"/>
        </w:rPr>
        <w:t>Заказчик</w:t>
      </w:r>
      <w:r w:rsidRPr="00995A5B">
        <w:rPr>
          <w:sz w:val="22"/>
          <w:szCs w:val="22"/>
        </w:rPr>
        <w:t xml:space="preserve"> разместил извещение о проведении открытого </w:t>
      </w:r>
      <w:r w:rsidR="004F5C0D" w:rsidRPr="00995A5B">
        <w:rPr>
          <w:sz w:val="22"/>
          <w:szCs w:val="22"/>
        </w:rPr>
        <w:t>аукцион</w:t>
      </w:r>
      <w:r w:rsidRPr="00995A5B">
        <w:rPr>
          <w:sz w:val="22"/>
          <w:szCs w:val="22"/>
        </w:rPr>
        <w:t>а и документацию</w:t>
      </w:r>
      <w:r w:rsidR="00DB1469" w:rsidRPr="00995A5B">
        <w:rPr>
          <w:sz w:val="22"/>
          <w:szCs w:val="22"/>
        </w:rPr>
        <w:t xml:space="preserve"> об аукционе</w:t>
      </w:r>
      <w:r w:rsidR="00A0493B" w:rsidRPr="00995A5B">
        <w:rPr>
          <w:sz w:val="22"/>
          <w:szCs w:val="22"/>
        </w:rPr>
        <w:t>,</w:t>
      </w:r>
      <w:r w:rsidR="004E170E" w:rsidRPr="00995A5B">
        <w:rPr>
          <w:sz w:val="22"/>
          <w:szCs w:val="22"/>
        </w:rPr>
        <w:t xml:space="preserve"> </w:t>
      </w:r>
      <w:r w:rsidR="00A0493B" w:rsidRPr="00995A5B">
        <w:rPr>
          <w:sz w:val="22"/>
          <w:szCs w:val="22"/>
        </w:rPr>
        <w:t xml:space="preserve">установив начальную (максимальную) цену </w:t>
      </w:r>
      <w:r w:rsidR="00C1746C" w:rsidRPr="00995A5B">
        <w:rPr>
          <w:sz w:val="22"/>
          <w:szCs w:val="22"/>
        </w:rPr>
        <w:t>государственного контракта</w:t>
      </w:r>
      <w:r w:rsidR="00BB3BF6" w:rsidRPr="00995A5B">
        <w:rPr>
          <w:sz w:val="22"/>
          <w:szCs w:val="22"/>
        </w:rPr>
        <w:t xml:space="preserve"> </w:t>
      </w:r>
      <w:r w:rsidR="00C1746C" w:rsidRPr="00995A5B">
        <w:rPr>
          <w:sz w:val="22"/>
          <w:szCs w:val="22"/>
        </w:rPr>
        <w:t>8</w:t>
      </w:r>
      <w:r w:rsidR="008D358A" w:rsidRPr="00995A5B">
        <w:rPr>
          <w:sz w:val="22"/>
          <w:szCs w:val="22"/>
        </w:rPr>
        <w:t>000000</w:t>
      </w:r>
      <w:r w:rsidR="00A0493B" w:rsidRPr="00995A5B">
        <w:rPr>
          <w:sz w:val="22"/>
          <w:szCs w:val="22"/>
        </w:rPr>
        <w:t xml:space="preserve"> руб</w:t>
      </w:r>
      <w:r w:rsidR="008D358A" w:rsidRPr="00995A5B">
        <w:rPr>
          <w:sz w:val="22"/>
          <w:szCs w:val="22"/>
        </w:rPr>
        <w:t>лей</w:t>
      </w:r>
      <w:r w:rsidR="00A0493B" w:rsidRPr="00995A5B">
        <w:rPr>
          <w:sz w:val="22"/>
          <w:szCs w:val="22"/>
        </w:rPr>
        <w:t>.</w:t>
      </w:r>
    </w:p>
    <w:p w:rsidR="008D358A" w:rsidRPr="00995A5B" w:rsidRDefault="008D358A" w:rsidP="008D358A">
      <w:pPr>
        <w:pStyle w:val="ae"/>
        <w:tabs>
          <w:tab w:val="left" w:pos="851"/>
        </w:tabs>
        <w:spacing w:after="0"/>
        <w:ind w:left="0" w:firstLine="709"/>
        <w:jc w:val="both"/>
        <w:rPr>
          <w:sz w:val="22"/>
          <w:szCs w:val="22"/>
        </w:rPr>
      </w:pPr>
      <w:r w:rsidRPr="00995A5B">
        <w:rPr>
          <w:sz w:val="22"/>
          <w:szCs w:val="22"/>
        </w:rPr>
        <w:t xml:space="preserve">Из протокола рассмотрения первых частей заявок на участие в аукционе от </w:t>
      </w:r>
      <w:r w:rsidR="00C1746C" w:rsidRPr="00995A5B">
        <w:rPr>
          <w:sz w:val="22"/>
          <w:szCs w:val="22"/>
        </w:rPr>
        <w:t>1</w:t>
      </w:r>
      <w:r w:rsidRPr="00995A5B">
        <w:rPr>
          <w:sz w:val="22"/>
          <w:szCs w:val="22"/>
        </w:rPr>
        <w:t>4.0</w:t>
      </w:r>
      <w:r w:rsidR="00C1746C" w:rsidRPr="00995A5B">
        <w:rPr>
          <w:sz w:val="22"/>
          <w:szCs w:val="22"/>
        </w:rPr>
        <w:t>5</w:t>
      </w:r>
      <w:r w:rsidRPr="00995A5B">
        <w:rPr>
          <w:sz w:val="22"/>
          <w:szCs w:val="22"/>
        </w:rPr>
        <w:t xml:space="preserve">.2013 следует, что поступило </w:t>
      </w:r>
      <w:r w:rsidR="00C1746C" w:rsidRPr="00995A5B">
        <w:rPr>
          <w:sz w:val="22"/>
          <w:szCs w:val="22"/>
        </w:rPr>
        <w:t>восемнадцать</w:t>
      </w:r>
      <w:r w:rsidRPr="00995A5B">
        <w:rPr>
          <w:sz w:val="22"/>
          <w:szCs w:val="22"/>
        </w:rPr>
        <w:t xml:space="preserve"> заяв</w:t>
      </w:r>
      <w:r w:rsidR="00C1746C" w:rsidRPr="00995A5B">
        <w:rPr>
          <w:sz w:val="22"/>
          <w:szCs w:val="22"/>
        </w:rPr>
        <w:t>о</w:t>
      </w:r>
      <w:r w:rsidRPr="00995A5B">
        <w:rPr>
          <w:sz w:val="22"/>
          <w:szCs w:val="22"/>
        </w:rPr>
        <w:t>к на участие в аукционе, д</w:t>
      </w:r>
      <w:r w:rsidR="00C1746C" w:rsidRPr="00995A5B">
        <w:rPr>
          <w:sz w:val="22"/>
          <w:szCs w:val="22"/>
        </w:rPr>
        <w:t>вум</w:t>
      </w:r>
      <w:r w:rsidRPr="00995A5B">
        <w:rPr>
          <w:sz w:val="22"/>
          <w:szCs w:val="22"/>
        </w:rPr>
        <w:t xml:space="preserve"> участникам размещения заказа отказано в допуске к участию в аукционе, в том числе Заявителю.</w:t>
      </w:r>
    </w:p>
    <w:p w:rsidR="008D358A" w:rsidRPr="00995A5B" w:rsidRDefault="008D358A" w:rsidP="008D358A">
      <w:pPr>
        <w:pStyle w:val="ae"/>
        <w:tabs>
          <w:tab w:val="left" w:pos="851"/>
        </w:tabs>
        <w:spacing w:after="0"/>
        <w:ind w:left="0" w:firstLine="709"/>
        <w:jc w:val="both"/>
        <w:rPr>
          <w:sz w:val="22"/>
          <w:szCs w:val="22"/>
        </w:rPr>
      </w:pPr>
      <w:r w:rsidRPr="00995A5B">
        <w:rPr>
          <w:sz w:val="22"/>
          <w:szCs w:val="22"/>
        </w:rPr>
        <w:t>В соответствии с про</w:t>
      </w:r>
      <w:r w:rsidR="00C1746C" w:rsidRPr="00995A5B">
        <w:rPr>
          <w:sz w:val="22"/>
          <w:szCs w:val="22"/>
        </w:rPr>
        <w:t>токолом проведения аукциона от 1</w:t>
      </w:r>
      <w:r w:rsidRPr="00995A5B">
        <w:rPr>
          <w:sz w:val="22"/>
          <w:szCs w:val="22"/>
        </w:rPr>
        <w:t>7.0</w:t>
      </w:r>
      <w:r w:rsidR="00C1746C" w:rsidRPr="00995A5B">
        <w:rPr>
          <w:sz w:val="22"/>
          <w:szCs w:val="22"/>
        </w:rPr>
        <w:t>5</w:t>
      </w:r>
      <w:r w:rsidRPr="00995A5B">
        <w:rPr>
          <w:sz w:val="22"/>
          <w:szCs w:val="22"/>
        </w:rPr>
        <w:t xml:space="preserve">.2013 </w:t>
      </w:r>
      <w:r w:rsidR="00C1746C" w:rsidRPr="00995A5B">
        <w:rPr>
          <w:sz w:val="22"/>
          <w:szCs w:val="22"/>
        </w:rPr>
        <w:t>пять</w:t>
      </w:r>
      <w:r w:rsidRPr="00995A5B">
        <w:rPr>
          <w:sz w:val="22"/>
          <w:szCs w:val="22"/>
        </w:rPr>
        <w:t xml:space="preserve"> участник</w:t>
      </w:r>
      <w:r w:rsidR="00C1746C" w:rsidRPr="00995A5B">
        <w:rPr>
          <w:sz w:val="22"/>
          <w:szCs w:val="22"/>
        </w:rPr>
        <w:t>ов</w:t>
      </w:r>
      <w:r w:rsidRPr="00995A5B">
        <w:rPr>
          <w:sz w:val="22"/>
          <w:szCs w:val="22"/>
        </w:rPr>
        <w:t xml:space="preserve"> размещения заказа приняли участие в аукционе, наименьшую цену </w:t>
      </w:r>
      <w:r w:rsidR="00C1746C" w:rsidRPr="00995A5B">
        <w:rPr>
          <w:sz w:val="22"/>
          <w:szCs w:val="22"/>
        </w:rPr>
        <w:t>2400000</w:t>
      </w:r>
      <w:r w:rsidRPr="00995A5B">
        <w:rPr>
          <w:sz w:val="22"/>
          <w:szCs w:val="22"/>
        </w:rPr>
        <w:t xml:space="preserve"> рублей предложил участник № </w:t>
      </w:r>
      <w:r w:rsidR="00C1746C" w:rsidRPr="00995A5B">
        <w:rPr>
          <w:sz w:val="22"/>
          <w:szCs w:val="22"/>
        </w:rPr>
        <w:t>7</w:t>
      </w:r>
      <w:r w:rsidRPr="00995A5B">
        <w:rPr>
          <w:sz w:val="22"/>
          <w:szCs w:val="22"/>
        </w:rPr>
        <w:t>.</w:t>
      </w:r>
    </w:p>
    <w:p w:rsidR="008D358A" w:rsidRPr="00995A5B" w:rsidRDefault="008D358A" w:rsidP="008D358A">
      <w:pPr>
        <w:pStyle w:val="a3"/>
        <w:ind w:firstLine="709"/>
        <w:jc w:val="both"/>
        <w:rPr>
          <w:b w:val="0"/>
          <w:sz w:val="22"/>
          <w:szCs w:val="22"/>
        </w:rPr>
      </w:pPr>
      <w:r w:rsidRPr="00995A5B">
        <w:rPr>
          <w:b w:val="0"/>
          <w:sz w:val="22"/>
          <w:szCs w:val="22"/>
        </w:rPr>
        <w:t xml:space="preserve">Согласно протоколу подведения итогов аукциона от </w:t>
      </w:r>
      <w:r w:rsidR="00C1746C" w:rsidRPr="00995A5B">
        <w:rPr>
          <w:b w:val="0"/>
          <w:sz w:val="22"/>
          <w:szCs w:val="22"/>
        </w:rPr>
        <w:t>22</w:t>
      </w:r>
      <w:r w:rsidRPr="00995A5B">
        <w:rPr>
          <w:b w:val="0"/>
          <w:sz w:val="22"/>
          <w:szCs w:val="22"/>
        </w:rPr>
        <w:t>.0</w:t>
      </w:r>
      <w:r w:rsidR="00C1746C" w:rsidRPr="00995A5B">
        <w:rPr>
          <w:b w:val="0"/>
          <w:sz w:val="22"/>
          <w:szCs w:val="22"/>
        </w:rPr>
        <w:t>5</w:t>
      </w:r>
      <w:r w:rsidRPr="00995A5B">
        <w:rPr>
          <w:b w:val="0"/>
          <w:sz w:val="22"/>
          <w:szCs w:val="22"/>
        </w:rPr>
        <w:t xml:space="preserve">.2013 заявки </w:t>
      </w:r>
      <w:r w:rsidR="00C1746C" w:rsidRPr="00995A5B">
        <w:rPr>
          <w:b w:val="0"/>
          <w:sz w:val="22"/>
          <w:szCs w:val="22"/>
        </w:rPr>
        <w:t>четырех</w:t>
      </w:r>
      <w:r w:rsidRPr="00995A5B">
        <w:rPr>
          <w:b w:val="0"/>
          <w:sz w:val="22"/>
          <w:szCs w:val="22"/>
        </w:rPr>
        <w:t xml:space="preserve"> участников размещения заказа признаны соответствующими требованиям, установленным документацией об аукционе.</w:t>
      </w:r>
    </w:p>
    <w:p w:rsidR="00BA0993" w:rsidRPr="00995A5B" w:rsidRDefault="00BA0993" w:rsidP="008D358A">
      <w:pPr>
        <w:autoSpaceDE w:val="0"/>
        <w:autoSpaceDN w:val="0"/>
        <w:adjustRightInd w:val="0"/>
        <w:ind w:firstLine="709"/>
        <w:jc w:val="both"/>
        <w:outlineLvl w:val="0"/>
        <w:rPr>
          <w:sz w:val="22"/>
          <w:szCs w:val="22"/>
        </w:rPr>
      </w:pPr>
    </w:p>
    <w:p w:rsidR="008D358A" w:rsidRPr="00995A5B" w:rsidRDefault="008D358A" w:rsidP="008D358A">
      <w:pPr>
        <w:autoSpaceDE w:val="0"/>
        <w:autoSpaceDN w:val="0"/>
        <w:adjustRightInd w:val="0"/>
        <w:ind w:firstLine="709"/>
        <w:jc w:val="both"/>
        <w:outlineLvl w:val="0"/>
        <w:rPr>
          <w:sz w:val="22"/>
          <w:szCs w:val="22"/>
        </w:rPr>
      </w:pPr>
      <w:r w:rsidRPr="00995A5B">
        <w:rPr>
          <w:b/>
          <w:sz w:val="22"/>
          <w:szCs w:val="22"/>
        </w:rPr>
        <w:t>3.</w:t>
      </w:r>
      <w:r w:rsidRPr="00995A5B">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1D1E00" w:rsidRPr="00995A5B" w:rsidRDefault="001D1E00" w:rsidP="008D358A">
      <w:pPr>
        <w:autoSpaceDE w:val="0"/>
        <w:autoSpaceDN w:val="0"/>
        <w:adjustRightInd w:val="0"/>
        <w:ind w:firstLine="720"/>
        <w:jc w:val="both"/>
        <w:outlineLvl w:val="1"/>
        <w:rPr>
          <w:sz w:val="22"/>
          <w:szCs w:val="22"/>
        </w:rPr>
      </w:pPr>
    </w:p>
    <w:p w:rsidR="008D358A" w:rsidRPr="00995A5B" w:rsidRDefault="001D1E00" w:rsidP="008D358A">
      <w:pPr>
        <w:autoSpaceDE w:val="0"/>
        <w:autoSpaceDN w:val="0"/>
        <w:adjustRightInd w:val="0"/>
        <w:ind w:firstLine="720"/>
        <w:jc w:val="both"/>
        <w:outlineLvl w:val="1"/>
        <w:rPr>
          <w:sz w:val="22"/>
          <w:szCs w:val="22"/>
        </w:rPr>
      </w:pPr>
      <w:r w:rsidRPr="00995A5B">
        <w:rPr>
          <w:b/>
          <w:sz w:val="22"/>
          <w:szCs w:val="22"/>
        </w:rPr>
        <w:t>3.1.</w:t>
      </w:r>
      <w:r w:rsidRPr="00995A5B">
        <w:rPr>
          <w:sz w:val="22"/>
          <w:szCs w:val="22"/>
        </w:rPr>
        <w:t xml:space="preserve"> </w:t>
      </w:r>
      <w:r w:rsidR="008D358A" w:rsidRPr="00995A5B">
        <w:rPr>
          <w:sz w:val="22"/>
          <w:szCs w:val="22"/>
        </w:rPr>
        <w:t xml:space="preserve">В силу требований части 1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предусмотренные </w:t>
      </w:r>
      <w:hyperlink r:id="rId9" w:history="1">
        <w:r w:rsidR="008D358A" w:rsidRPr="00995A5B">
          <w:rPr>
            <w:sz w:val="22"/>
            <w:szCs w:val="22"/>
          </w:rPr>
          <w:t>частью 4 статьи 41.8</w:t>
        </w:r>
      </w:hyperlink>
      <w:r w:rsidR="008D358A" w:rsidRPr="00995A5B">
        <w:rPr>
          <w:sz w:val="22"/>
          <w:szCs w:val="22"/>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8D358A" w:rsidRPr="00995A5B" w:rsidRDefault="008D358A" w:rsidP="008D358A">
      <w:pPr>
        <w:autoSpaceDE w:val="0"/>
        <w:autoSpaceDN w:val="0"/>
        <w:adjustRightInd w:val="0"/>
        <w:ind w:firstLine="720"/>
        <w:jc w:val="both"/>
        <w:outlineLvl w:val="1"/>
        <w:rPr>
          <w:sz w:val="22"/>
          <w:szCs w:val="22"/>
        </w:rPr>
      </w:pPr>
      <w:r w:rsidRPr="00995A5B">
        <w:rPr>
          <w:sz w:val="22"/>
          <w:szCs w:val="22"/>
        </w:rPr>
        <w:t>Согласно пункту 2 части 4 статьи</w:t>
      </w:r>
      <w:r w:rsidR="002D3B2C" w:rsidRPr="00995A5B">
        <w:rPr>
          <w:sz w:val="22"/>
          <w:szCs w:val="22"/>
        </w:rPr>
        <w:t xml:space="preserve"> 41.9 настоящего Федерального закона</w:t>
      </w:r>
      <w:r w:rsidRPr="00995A5B">
        <w:rPr>
          <w:sz w:val="22"/>
          <w:szCs w:val="22"/>
        </w:rPr>
        <w:t xml:space="preserve"> участник размещения заказа не допускается к участию в открытом аукционе в электронной форме в случае несоответствия сведений, предусмотренных </w:t>
      </w:r>
      <w:hyperlink r:id="rId10" w:history="1">
        <w:r w:rsidRPr="00995A5B">
          <w:rPr>
            <w:sz w:val="22"/>
            <w:szCs w:val="22"/>
          </w:rPr>
          <w:t>частью 4 статьи 41.8</w:t>
        </w:r>
      </w:hyperlink>
      <w:r w:rsidRPr="00995A5B">
        <w:rPr>
          <w:sz w:val="22"/>
          <w:szCs w:val="22"/>
        </w:rPr>
        <w:t xml:space="preserve"> настоящего Федерального закона, требованиям документации об открытом аукционе в электронной форме.</w:t>
      </w:r>
    </w:p>
    <w:p w:rsidR="008D358A" w:rsidRPr="00995A5B" w:rsidRDefault="008D358A" w:rsidP="008D358A">
      <w:pPr>
        <w:widowControl w:val="0"/>
        <w:autoSpaceDE w:val="0"/>
        <w:autoSpaceDN w:val="0"/>
        <w:adjustRightInd w:val="0"/>
        <w:ind w:firstLine="709"/>
        <w:jc w:val="both"/>
        <w:rPr>
          <w:sz w:val="22"/>
          <w:szCs w:val="22"/>
        </w:rPr>
      </w:pPr>
      <w:r w:rsidRPr="00995A5B">
        <w:rPr>
          <w:sz w:val="22"/>
          <w:szCs w:val="22"/>
        </w:rPr>
        <w:t>Пунктом 1 части 4 статьи 41.6 Федерального закона «О размещении заказов» установлено, что документация об открытом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2D3B2C" w:rsidRPr="00995A5B" w:rsidRDefault="002D3B2C" w:rsidP="008D358A">
      <w:pPr>
        <w:widowControl w:val="0"/>
        <w:autoSpaceDE w:val="0"/>
        <w:autoSpaceDN w:val="0"/>
        <w:adjustRightInd w:val="0"/>
        <w:ind w:firstLine="709"/>
        <w:jc w:val="both"/>
        <w:rPr>
          <w:sz w:val="22"/>
          <w:szCs w:val="22"/>
        </w:rPr>
      </w:pPr>
      <w:r w:rsidRPr="00995A5B">
        <w:rPr>
          <w:sz w:val="22"/>
          <w:szCs w:val="22"/>
        </w:rPr>
        <w:t>В соответствии с</w:t>
      </w:r>
      <w:r w:rsidR="008D358A" w:rsidRPr="00995A5B">
        <w:rPr>
          <w:sz w:val="22"/>
          <w:szCs w:val="22"/>
        </w:rPr>
        <w:t xml:space="preserve"> требовани</w:t>
      </w:r>
      <w:r w:rsidRPr="00995A5B">
        <w:rPr>
          <w:sz w:val="22"/>
          <w:szCs w:val="22"/>
        </w:rPr>
        <w:t>ями</w:t>
      </w:r>
      <w:r w:rsidR="008D358A" w:rsidRPr="00995A5B">
        <w:rPr>
          <w:sz w:val="22"/>
          <w:szCs w:val="22"/>
        </w:rPr>
        <w:t xml:space="preserve"> пункта 1 части 3 статьи 41.6 </w:t>
      </w:r>
      <w:r w:rsidRPr="00995A5B">
        <w:rPr>
          <w:sz w:val="22"/>
          <w:szCs w:val="22"/>
        </w:rPr>
        <w:t xml:space="preserve">и подпункта «б» пункта 1 части 4 статьи 41.8 </w:t>
      </w:r>
      <w:r w:rsidR="008D358A" w:rsidRPr="00995A5B">
        <w:rPr>
          <w:sz w:val="22"/>
          <w:szCs w:val="22"/>
        </w:rPr>
        <w:t xml:space="preserve">настоящего Федерального закона </w:t>
      </w:r>
      <w:r w:rsidR="001D1E00" w:rsidRPr="00995A5B">
        <w:rPr>
          <w:sz w:val="22"/>
          <w:szCs w:val="22"/>
        </w:rPr>
        <w:t>под</w:t>
      </w:r>
      <w:r w:rsidRPr="00995A5B">
        <w:rPr>
          <w:sz w:val="22"/>
          <w:szCs w:val="22"/>
        </w:rPr>
        <w:t xml:space="preserve">пункт </w:t>
      </w:r>
      <w:r w:rsidR="009777B9">
        <w:rPr>
          <w:sz w:val="22"/>
          <w:szCs w:val="22"/>
        </w:rPr>
        <w:t>«</w:t>
      </w:r>
      <w:r w:rsidR="001D1E00" w:rsidRPr="00995A5B">
        <w:rPr>
          <w:sz w:val="22"/>
          <w:szCs w:val="22"/>
        </w:rPr>
        <w:t>б</w:t>
      </w:r>
      <w:r w:rsidR="009777B9">
        <w:rPr>
          <w:sz w:val="22"/>
          <w:szCs w:val="22"/>
        </w:rPr>
        <w:t>»</w:t>
      </w:r>
      <w:r w:rsidRPr="00995A5B">
        <w:rPr>
          <w:sz w:val="22"/>
          <w:szCs w:val="22"/>
        </w:rPr>
        <w:t xml:space="preserve"> </w:t>
      </w:r>
      <w:r w:rsidR="001D1E00" w:rsidRPr="00995A5B">
        <w:rPr>
          <w:sz w:val="22"/>
          <w:szCs w:val="22"/>
        </w:rPr>
        <w:t xml:space="preserve">пункта 10.1.1 статьи 10 </w:t>
      </w:r>
      <w:r w:rsidR="008D358A" w:rsidRPr="00995A5B">
        <w:rPr>
          <w:sz w:val="22"/>
          <w:szCs w:val="22"/>
        </w:rPr>
        <w:t>документаци</w:t>
      </w:r>
      <w:r w:rsidRPr="00995A5B">
        <w:rPr>
          <w:sz w:val="22"/>
          <w:szCs w:val="22"/>
        </w:rPr>
        <w:t>и</w:t>
      </w:r>
      <w:r w:rsidR="008D358A" w:rsidRPr="00995A5B">
        <w:rPr>
          <w:sz w:val="22"/>
          <w:szCs w:val="22"/>
        </w:rPr>
        <w:t xml:space="preserve"> об аукционе содерж</w:t>
      </w:r>
      <w:r w:rsidRPr="00995A5B">
        <w:rPr>
          <w:sz w:val="22"/>
          <w:szCs w:val="22"/>
        </w:rPr>
        <w:t>и</w:t>
      </w:r>
      <w:r w:rsidR="008D358A" w:rsidRPr="00995A5B">
        <w:rPr>
          <w:sz w:val="22"/>
          <w:szCs w:val="22"/>
        </w:rPr>
        <w:t>т требовани</w:t>
      </w:r>
      <w:r w:rsidRPr="00995A5B">
        <w:rPr>
          <w:sz w:val="22"/>
          <w:szCs w:val="22"/>
        </w:rPr>
        <w:t>е</w:t>
      </w:r>
      <w:r w:rsidR="008D358A" w:rsidRPr="00995A5B">
        <w:rPr>
          <w:sz w:val="22"/>
          <w:szCs w:val="22"/>
        </w:rPr>
        <w:t xml:space="preserve"> к содержанию и составу</w:t>
      </w:r>
      <w:r w:rsidR="009777B9">
        <w:rPr>
          <w:sz w:val="22"/>
          <w:szCs w:val="22"/>
        </w:rPr>
        <w:t xml:space="preserve"> первой части </w:t>
      </w:r>
      <w:r w:rsidR="008D358A" w:rsidRPr="00995A5B">
        <w:rPr>
          <w:sz w:val="22"/>
          <w:szCs w:val="22"/>
        </w:rPr>
        <w:t>заявки на участие в открытом аукционе в электронной форме</w:t>
      </w:r>
      <w:r w:rsidRPr="00995A5B">
        <w:rPr>
          <w:sz w:val="22"/>
          <w:szCs w:val="22"/>
        </w:rPr>
        <w:t>:</w:t>
      </w:r>
    </w:p>
    <w:p w:rsidR="001D1E00" w:rsidRPr="00995A5B" w:rsidRDefault="002D3B2C" w:rsidP="002D3B2C">
      <w:pPr>
        <w:widowControl w:val="0"/>
        <w:autoSpaceDE w:val="0"/>
        <w:autoSpaceDN w:val="0"/>
        <w:adjustRightInd w:val="0"/>
        <w:ind w:firstLine="709"/>
        <w:jc w:val="both"/>
        <w:rPr>
          <w:i/>
          <w:sz w:val="22"/>
          <w:szCs w:val="22"/>
        </w:rPr>
      </w:pPr>
      <w:r w:rsidRPr="00995A5B">
        <w:rPr>
          <w:i/>
          <w:sz w:val="22"/>
          <w:szCs w:val="22"/>
        </w:rPr>
        <w:t>«</w:t>
      </w:r>
      <w:r w:rsidR="001D1E00" w:rsidRPr="00995A5B">
        <w:rPr>
          <w:i/>
          <w:sz w:val="22"/>
          <w:szCs w:val="22"/>
        </w:rPr>
        <w:t xml:space="preserve">согласие, предусмотренное подпунктом 10.1.1.1 пункта 10.1.1, а также конкретные показатели, соответствующие значениям, установленным настоящей документацией об аукционе (Раздел </w:t>
      </w:r>
      <w:r w:rsidR="001D1E00" w:rsidRPr="00995A5B">
        <w:rPr>
          <w:i/>
          <w:sz w:val="22"/>
          <w:szCs w:val="22"/>
          <w:lang w:val="en-US"/>
        </w:rPr>
        <w:t>III</w:t>
      </w:r>
      <w:r w:rsidR="001D1E00" w:rsidRPr="00995A5B">
        <w:rPr>
          <w:i/>
          <w:sz w:val="22"/>
          <w:szCs w:val="22"/>
        </w:rPr>
        <w:t>), и товарный знак (при его наличии) предлагаемого для использования товара при условии отсутствия в документации об аукционе на товарный знак используемого товара».</w:t>
      </w:r>
    </w:p>
    <w:p w:rsidR="008D358A" w:rsidRPr="00995A5B" w:rsidRDefault="004E1D68" w:rsidP="008D358A">
      <w:pPr>
        <w:tabs>
          <w:tab w:val="left" w:pos="-1820"/>
          <w:tab w:val="left" w:pos="-142"/>
        </w:tabs>
        <w:jc w:val="both"/>
        <w:rPr>
          <w:sz w:val="22"/>
          <w:szCs w:val="22"/>
        </w:rPr>
      </w:pPr>
      <w:r w:rsidRPr="00995A5B">
        <w:rPr>
          <w:sz w:val="22"/>
          <w:szCs w:val="22"/>
        </w:rPr>
        <w:tab/>
      </w:r>
      <w:r w:rsidR="001D1E00" w:rsidRPr="00995A5B">
        <w:rPr>
          <w:sz w:val="22"/>
          <w:szCs w:val="22"/>
        </w:rPr>
        <w:t>Приложением № 1 «Техническое задание» к</w:t>
      </w:r>
      <w:r w:rsidR="009149E0" w:rsidRPr="00995A5B">
        <w:rPr>
          <w:sz w:val="22"/>
          <w:szCs w:val="22"/>
        </w:rPr>
        <w:t xml:space="preserve"> </w:t>
      </w:r>
      <w:r w:rsidRPr="00995A5B">
        <w:rPr>
          <w:sz w:val="22"/>
          <w:szCs w:val="22"/>
        </w:rPr>
        <w:t>документаци</w:t>
      </w:r>
      <w:r w:rsidR="001D1E00" w:rsidRPr="00995A5B">
        <w:rPr>
          <w:sz w:val="22"/>
          <w:szCs w:val="22"/>
        </w:rPr>
        <w:t>и</w:t>
      </w:r>
      <w:r w:rsidRPr="00995A5B">
        <w:rPr>
          <w:sz w:val="22"/>
          <w:szCs w:val="22"/>
        </w:rPr>
        <w:t xml:space="preserve"> об аукционе,</w:t>
      </w:r>
      <w:r w:rsidR="008D358A" w:rsidRPr="00995A5B">
        <w:rPr>
          <w:sz w:val="22"/>
          <w:szCs w:val="22"/>
        </w:rPr>
        <w:t xml:space="preserve"> установлены значения показателей используемого товара без указания товарного знака, например: </w:t>
      </w:r>
    </w:p>
    <w:p w:rsidR="008D358A" w:rsidRPr="00995A5B" w:rsidRDefault="008D358A" w:rsidP="008D358A">
      <w:pPr>
        <w:tabs>
          <w:tab w:val="left" w:pos="-1820"/>
          <w:tab w:val="left" w:pos="0"/>
        </w:tabs>
        <w:jc w:val="both"/>
        <w:rPr>
          <w:iCs/>
          <w:sz w:val="22"/>
          <w:szCs w:val="22"/>
        </w:rPr>
      </w:pPr>
    </w:p>
    <w:tbl>
      <w:tblPr>
        <w:tblStyle w:val="af0"/>
        <w:tblW w:w="10206" w:type="dxa"/>
        <w:tblInd w:w="108" w:type="dxa"/>
        <w:tblLayout w:type="fixed"/>
        <w:tblLook w:val="04A0"/>
      </w:tblPr>
      <w:tblGrid>
        <w:gridCol w:w="567"/>
        <w:gridCol w:w="1843"/>
        <w:gridCol w:w="7796"/>
      </w:tblGrid>
      <w:tr w:rsidR="001D1E00" w:rsidRPr="00995A5B" w:rsidTr="001D1E00">
        <w:tc>
          <w:tcPr>
            <w:tcW w:w="567" w:type="dxa"/>
          </w:tcPr>
          <w:p w:rsidR="001D1E00" w:rsidRPr="00995A5B" w:rsidRDefault="001D1E00" w:rsidP="001D1E00">
            <w:pPr>
              <w:jc w:val="center"/>
              <w:rPr>
                <w:sz w:val="22"/>
                <w:szCs w:val="22"/>
              </w:rPr>
            </w:pPr>
            <w:r w:rsidRPr="00995A5B">
              <w:rPr>
                <w:sz w:val="22"/>
                <w:szCs w:val="22"/>
              </w:rPr>
              <w:t>№ пп</w:t>
            </w:r>
          </w:p>
        </w:tc>
        <w:tc>
          <w:tcPr>
            <w:tcW w:w="1843" w:type="dxa"/>
          </w:tcPr>
          <w:p w:rsidR="001D1E00" w:rsidRPr="00995A5B" w:rsidRDefault="001D1E00" w:rsidP="004E1D68">
            <w:pPr>
              <w:jc w:val="center"/>
              <w:rPr>
                <w:sz w:val="22"/>
                <w:szCs w:val="22"/>
              </w:rPr>
            </w:pPr>
            <w:r w:rsidRPr="00995A5B">
              <w:rPr>
                <w:sz w:val="22"/>
                <w:szCs w:val="22"/>
              </w:rPr>
              <w:t xml:space="preserve">Наименование </w:t>
            </w:r>
          </w:p>
        </w:tc>
        <w:tc>
          <w:tcPr>
            <w:tcW w:w="7796" w:type="dxa"/>
          </w:tcPr>
          <w:p w:rsidR="001D1E00" w:rsidRPr="00995A5B" w:rsidRDefault="001D1E00" w:rsidP="004E1D68">
            <w:pPr>
              <w:jc w:val="center"/>
              <w:rPr>
                <w:sz w:val="22"/>
                <w:szCs w:val="22"/>
              </w:rPr>
            </w:pPr>
            <w:r w:rsidRPr="00995A5B">
              <w:rPr>
                <w:sz w:val="22"/>
                <w:szCs w:val="22"/>
              </w:rPr>
              <w:t xml:space="preserve">Показатели </w:t>
            </w:r>
          </w:p>
        </w:tc>
      </w:tr>
      <w:tr w:rsidR="001D1E00" w:rsidRPr="00995A5B" w:rsidTr="001D1E00">
        <w:trPr>
          <w:trHeight w:val="244"/>
        </w:trPr>
        <w:tc>
          <w:tcPr>
            <w:tcW w:w="567" w:type="dxa"/>
          </w:tcPr>
          <w:p w:rsidR="001D1E00" w:rsidRPr="00995A5B" w:rsidRDefault="001D1E00" w:rsidP="00251D22">
            <w:pPr>
              <w:spacing w:after="0"/>
              <w:jc w:val="center"/>
              <w:rPr>
                <w:sz w:val="22"/>
                <w:szCs w:val="22"/>
              </w:rPr>
            </w:pPr>
            <w:r w:rsidRPr="00995A5B">
              <w:rPr>
                <w:sz w:val="22"/>
                <w:szCs w:val="22"/>
              </w:rPr>
              <w:t>9</w:t>
            </w:r>
          </w:p>
        </w:tc>
        <w:tc>
          <w:tcPr>
            <w:tcW w:w="1843" w:type="dxa"/>
          </w:tcPr>
          <w:p w:rsidR="001D1E00" w:rsidRPr="00995A5B" w:rsidRDefault="001D1E00" w:rsidP="00CA607B">
            <w:pPr>
              <w:rPr>
                <w:sz w:val="22"/>
                <w:szCs w:val="22"/>
              </w:rPr>
            </w:pPr>
            <w:r w:rsidRPr="00995A5B">
              <w:rPr>
                <w:sz w:val="22"/>
                <w:szCs w:val="22"/>
              </w:rPr>
              <w:t>Блок оконный ПВХ (глухой+поворотно-откидной)</w:t>
            </w:r>
          </w:p>
        </w:tc>
        <w:tc>
          <w:tcPr>
            <w:tcW w:w="7796" w:type="dxa"/>
          </w:tcPr>
          <w:p w:rsidR="001D1E00" w:rsidRPr="00995A5B" w:rsidRDefault="001D1E00" w:rsidP="001D1E00">
            <w:pPr>
              <w:rPr>
                <w:sz w:val="22"/>
                <w:szCs w:val="22"/>
              </w:rPr>
            </w:pPr>
            <w:r w:rsidRPr="00995A5B">
              <w:rPr>
                <w:sz w:val="22"/>
                <w:szCs w:val="22"/>
              </w:rPr>
              <w:t>Блок оконный ПВХ: </w:t>
            </w:r>
          </w:p>
          <w:p w:rsidR="001D1E00" w:rsidRPr="00995A5B" w:rsidRDefault="001D1E00" w:rsidP="001D1E00">
            <w:pPr>
              <w:rPr>
                <w:sz w:val="22"/>
                <w:szCs w:val="22"/>
              </w:rPr>
            </w:pPr>
            <w:r w:rsidRPr="00995A5B">
              <w:rPr>
                <w:sz w:val="22"/>
                <w:szCs w:val="22"/>
              </w:rPr>
              <w:t>Толщина профиля рамы – не менее 70 мм.</w:t>
            </w:r>
          </w:p>
          <w:p w:rsidR="001D1E00" w:rsidRPr="00995A5B" w:rsidRDefault="001D1E00" w:rsidP="001D1E00">
            <w:pPr>
              <w:rPr>
                <w:sz w:val="22"/>
                <w:szCs w:val="22"/>
              </w:rPr>
            </w:pPr>
            <w:r w:rsidRPr="00995A5B">
              <w:rPr>
                <w:sz w:val="22"/>
                <w:szCs w:val="22"/>
              </w:rPr>
              <w:t>Количество камер в профиле рамы – не менее 5.</w:t>
            </w:r>
          </w:p>
          <w:p w:rsidR="001D1E00" w:rsidRPr="00995A5B" w:rsidRDefault="001D1E00" w:rsidP="001D1E00">
            <w:pPr>
              <w:rPr>
                <w:sz w:val="22"/>
                <w:szCs w:val="22"/>
              </w:rPr>
            </w:pPr>
            <w:r w:rsidRPr="00995A5B">
              <w:rPr>
                <w:sz w:val="22"/>
                <w:szCs w:val="22"/>
              </w:rPr>
              <w:t>Толщина стеклопакета – не менее 36 мм.</w:t>
            </w:r>
          </w:p>
          <w:p w:rsidR="001D1E00" w:rsidRPr="00995A5B" w:rsidRDefault="001D1E00" w:rsidP="001D1E00">
            <w:pPr>
              <w:rPr>
                <w:sz w:val="22"/>
                <w:szCs w:val="22"/>
              </w:rPr>
            </w:pPr>
            <w:r w:rsidRPr="00995A5B">
              <w:rPr>
                <w:sz w:val="22"/>
                <w:szCs w:val="22"/>
              </w:rPr>
              <w:t>Количество камер в стеклопакете – не менее 2.</w:t>
            </w:r>
          </w:p>
          <w:p w:rsidR="001D1E00" w:rsidRPr="00995A5B" w:rsidRDefault="001D1E00" w:rsidP="001D1E00">
            <w:pPr>
              <w:rPr>
                <w:sz w:val="22"/>
                <w:szCs w:val="22"/>
              </w:rPr>
            </w:pPr>
            <w:r w:rsidRPr="00995A5B">
              <w:rPr>
                <w:sz w:val="22"/>
                <w:szCs w:val="22"/>
              </w:rPr>
              <w:t>Количество контуров уплотнения – не менее 2.</w:t>
            </w:r>
          </w:p>
          <w:p w:rsidR="001D1E00" w:rsidRPr="00995A5B" w:rsidRDefault="001D1E00" w:rsidP="001D1E00">
            <w:pPr>
              <w:rPr>
                <w:sz w:val="22"/>
                <w:szCs w:val="22"/>
              </w:rPr>
            </w:pPr>
            <w:r w:rsidRPr="00995A5B">
              <w:rPr>
                <w:sz w:val="22"/>
                <w:szCs w:val="22"/>
              </w:rPr>
              <w:t>Сопротивление профиля теплопередаче (макс.) – не менее 0,75 м2 * град. С/Вт</w:t>
            </w:r>
          </w:p>
          <w:p w:rsidR="001D1E00" w:rsidRPr="00995A5B" w:rsidRDefault="001D1E00" w:rsidP="001D1E00">
            <w:pPr>
              <w:spacing w:after="0"/>
              <w:rPr>
                <w:sz w:val="22"/>
                <w:szCs w:val="22"/>
              </w:rPr>
            </w:pPr>
            <w:r w:rsidRPr="00995A5B">
              <w:rPr>
                <w:sz w:val="22"/>
                <w:szCs w:val="22"/>
              </w:rPr>
              <w:t>Оконный блок должен соответствовать требованиям ГОСТ 30674-99</w:t>
            </w:r>
          </w:p>
        </w:tc>
      </w:tr>
      <w:tr w:rsidR="001D1E00" w:rsidRPr="00995A5B" w:rsidTr="001D1E00">
        <w:trPr>
          <w:trHeight w:val="244"/>
        </w:trPr>
        <w:tc>
          <w:tcPr>
            <w:tcW w:w="567" w:type="dxa"/>
          </w:tcPr>
          <w:p w:rsidR="001D1E00" w:rsidRPr="00995A5B" w:rsidRDefault="001D1E00" w:rsidP="00251D22">
            <w:pPr>
              <w:jc w:val="center"/>
              <w:rPr>
                <w:sz w:val="22"/>
                <w:szCs w:val="22"/>
              </w:rPr>
            </w:pPr>
            <w:r w:rsidRPr="00995A5B">
              <w:rPr>
                <w:sz w:val="22"/>
                <w:szCs w:val="22"/>
              </w:rPr>
              <w:t>13</w:t>
            </w:r>
          </w:p>
        </w:tc>
        <w:tc>
          <w:tcPr>
            <w:tcW w:w="1843" w:type="dxa"/>
          </w:tcPr>
          <w:p w:rsidR="001D1E00" w:rsidRPr="00995A5B" w:rsidRDefault="001D1E00" w:rsidP="00CA607B">
            <w:pPr>
              <w:rPr>
                <w:sz w:val="22"/>
                <w:szCs w:val="22"/>
              </w:rPr>
            </w:pPr>
            <w:r w:rsidRPr="00995A5B">
              <w:rPr>
                <w:sz w:val="22"/>
                <w:szCs w:val="22"/>
              </w:rPr>
              <w:t>Плиты подоконные ПВХ</w:t>
            </w:r>
          </w:p>
        </w:tc>
        <w:tc>
          <w:tcPr>
            <w:tcW w:w="7796" w:type="dxa"/>
          </w:tcPr>
          <w:p w:rsidR="001D1E00" w:rsidRPr="00995A5B" w:rsidRDefault="001D1E00" w:rsidP="001D1E00">
            <w:pPr>
              <w:rPr>
                <w:sz w:val="22"/>
                <w:szCs w:val="22"/>
              </w:rPr>
            </w:pPr>
            <w:r w:rsidRPr="00995A5B">
              <w:rPr>
                <w:sz w:val="22"/>
                <w:szCs w:val="22"/>
              </w:rPr>
              <w:t>Толщина – не менее 20 мм.</w:t>
            </w:r>
          </w:p>
          <w:p w:rsidR="001D1E00" w:rsidRPr="00995A5B" w:rsidRDefault="001D1E00" w:rsidP="001D1E00">
            <w:pPr>
              <w:rPr>
                <w:sz w:val="22"/>
                <w:szCs w:val="22"/>
              </w:rPr>
            </w:pPr>
            <w:r w:rsidRPr="00995A5B">
              <w:rPr>
                <w:sz w:val="22"/>
                <w:szCs w:val="22"/>
              </w:rPr>
              <w:t>Ширина – не менее 500 мм.</w:t>
            </w:r>
          </w:p>
        </w:tc>
      </w:tr>
      <w:tr w:rsidR="001D1E00" w:rsidRPr="00995A5B" w:rsidTr="001D1E00">
        <w:trPr>
          <w:trHeight w:val="244"/>
        </w:trPr>
        <w:tc>
          <w:tcPr>
            <w:tcW w:w="567" w:type="dxa"/>
          </w:tcPr>
          <w:p w:rsidR="001D1E00" w:rsidRPr="00995A5B" w:rsidRDefault="001D1E00" w:rsidP="00251D22">
            <w:pPr>
              <w:jc w:val="center"/>
              <w:rPr>
                <w:sz w:val="22"/>
                <w:szCs w:val="22"/>
              </w:rPr>
            </w:pPr>
            <w:r w:rsidRPr="00995A5B">
              <w:rPr>
                <w:sz w:val="22"/>
                <w:szCs w:val="22"/>
              </w:rPr>
              <w:t>16</w:t>
            </w:r>
          </w:p>
        </w:tc>
        <w:tc>
          <w:tcPr>
            <w:tcW w:w="1843" w:type="dxa"/>
          </w:tcPr>
          <w:p w:rsidR="001D1E00" w:rsidRPr="00995A5B" w:rsidRDefault="001D1E00" w:rsidP="00CA607B">
            <w:pPr>
              <w:rPr>
                <w:sz w:val="22"/>
                <w:szCs w:val="22"/>
              </w:rPr>
            </w:pPr>
            <w:r w:rsidRPr="00995A5B">
              <w:rPr>
                <w:sz w:val="22"/>
                <w:szCs w:val="22"/>
              </w:rPr>
              <w:t>Профиль ПВХ</w:t>
            </w:r>
          </w:p>
        </w:tc>
        <w:tc>
          <w:tcPr>
            <w:tcW w:w="7796" w:type="dxa"/>
          </w:tcPr>
          <w:p w:rsidR="001D1E00" w:rsidRPr="00995A5B" w:rsidRDefault="001D1E00" w:rsidP="00CA607B">
            <w:pPr>
              <w:rPr>
                <w:sz w:val="22"/>
                <w:szCs w:val="22"/>
              </w:rPr>
            </w:pPr>
            <w:r w:rsidRPr="00995A5B">
              <w:rPr>
                <w:sz w:val="22"/>
                <w:szCs w:val="22"/>
              </w:rPr>
              <w:t>Уголок отделочный размером 20х20х2700 мм, белый. </w:t>
            </w:r>
          </w:p>
        </w:tc>
      </w:tr>
    </w:tbl>
    <w:p w:rsidR="009777B9" w:rsidRDefault="009777B9" w:rsidP="0047601E">
      <w:pPr>
        <w:pStyle w:val="22"/>
        <w:shd w:val="clear" w:color="auto" w:fill="auto"/>
        <w:spacing w:before="100" w:beforeAutospacing="1" w:after="100" w:afterAutospacing="1" w:line="240" w:lineRule="auto"/>
        <w:ind w:firstLine="720"/>
        <w:contextualSpacing/>
      </w:pPr>
    </w:p>
    <w:p w:rsidR="0047601E" w:rsidRPr="00995A5B" w:rsidRDefault="008D358A" w:rsidP="0047601E">
      <w:pPr>
        <w:pStyle w:val="22"/>
        <w:shd w:val="clear" w:color="auto" w:fill="auto"/>
        <w:spacing w:before="100" w:beforeAutospacing="1" w:after="100" w:afterAutospacing="1" w:line="240" w:lineRule="auto"/>
        <w:ind w:firstLine="720"/>
        <w:contextualSpacing/>
      </w:pPr>
      <w:r w:rsidRPr="00995A5B">
        <w:t xml:space="preserve">Согласно протоколу рассмотрения первых частей заявок на участие в открытом аукционе от </w:t>
      </w:r>
      <w:r w:rsidR="001D1E00" w:rsidRPr="00995A5B">
        <w:t>1</w:t>
      </w:r>
      <w:r w:rsidR="0047601E" w:rsidRPr="00995A5B">
        <w:t>4</w:t>
      </w:r>
      <w:r w:rsidRPr="00995A5B">
        <w:t>.0</w:t>
      </w:r>
      <w:r w:rsidR="001D1E00" w:rsidRPr="00995A5B">
        <w:t>5</w:t>
      </w:r>
      <w:r w:rsidRPr="00995A5B">
        <w:t xml:space="preserve">.2013 </w:t>
      </w:r>
      <w:r w:rsidR="009777B9">
        <w:t>Обществу</w:t>
      </w:r>
      <w:r w:rsidRPr="00995A5B">
        <w:t xml:space="preserve"> (заявка с порядковым номером </w:t>
      </w:r>
      <w:r w:rsidR="001D1E00" w:rsidRPr="00995A5B">
        <w:t>2</w:t>
      </w:r>
      <w:r w:rsidRPr="00995A5B">
        <w:t>) отказано в допуске к участию в аукционе</w:t>
      </w:r>
      <w:r w:rsidR="00995A5B" w:rsidRPr="00995A5B">
        <w:t>.</w:t>
      </w:r>
    </w:p>
    <w:p w:rsidR="00995A5B" w:rsidRPr="00995A5B" w:rsidRDefault="00995A5B" w:rsidP="0047601E">
      <w:pPr>
        <w:pStyle w:val="22"/>
        <w:shd w:val="clear" w:color="auto" w:fill="auto"/>
        <w:spacing w:before="100" w:beforeAutospacing="1" w:after="100" w:afterAutospacing="1" w:line="240" w:lineRule="auto"/>
        <w:ind w:firstLine="720"/>
        <w:contextualSpacing/>
      </w:pPr>
      <w:r w:rsidRPr="00995A5B">
        <w:t>На электронной площадке Заказчик указал следующее основание отказа в допуске к участию в аукционе:</w:t>
      </w:r>
    </w:p>
    <w:p w:rsidR="00995A5B" w:rsidRPr="00995A5B" w:rsidRDefault="0047601E" w:rsidP="0047601E">
      <w:pPr>
        <w:pStyle w:val="22"/>
        <w:shd w:val="clear" w:color="auto" w:fill="auto"/>
        <w:spacing w:before="100" w:beforeAutospacing="1" w:after="100" w:afterAutospacing="1" w:line="240" w:lineRule="auto"/>
        <w:ind w:firstLine="720"/>
        <w:contextualSpacing/>
        <w:rPr>
          <w:i/>
        </w:rPr>
      </w:pPr>
      <w:r w:rsidRPr="00995A5B">
        <w:rPr>
          <w:i/>
        </w:rPr>
        <w:lastRenderedPageBreak/>
        <w:t>«</w:t>
      </w:r>
      <w:r w:rsidR="00995A5B" w:rsidRPr="00995A5B">
        <w:rPr>
          <w:i/>
        </w:rPr>
        <w:t>Несоответствие сведений, предусмотренных частью 4 статьи 41.8 Федерального закона от 21.07.2005 г. № 94-ФЗ, требованиям документации об открытом аукционе в электронной форме».</w:t>
      </w:r>
    </w:p>
    <w:p w:rsidR="008D358A" w:rsidRPr="00995A5B" w:rsidRDefault="008D358A" w:rsidP="0047601E">
      <w:pPr>
        <w:pStyle w:val="22"/>
        <w:shd w:val="clear" w:color="auto" w:fill="auto"/>
        <w:spacing w:before="0" w:line="240" w:lineRule="auto"/>
        <w:ind w:firstLine="720"/>
        <w:contextualSpacing/>
      </w:pPr>
      <w:r w:rsidRPr="00995A5B">
        <w:t>Изучив заявки на участие в аукционе всех участников размещения заказа, Комиссия установила, что заявка Общества действительно не соответствовала требованиям документации об аукционе</w:t>
      </w:r>
      <w:r w:rsidR="00092562" w:rsidRPr="00995A5B">
        <w:t xml:space="preserve"> (не были указаны </w:t>
      </w:r>
      <w:r w:rsidR="00995A5B" w:rsidRPr="00995A5B">
        <w:t xml:space="preserve">значения </w:t>
      </w:r>
      <w:r w:rsidR="00092562" w:rsidRPr="00995A5B">
        <w:t>показател</w:t>
      </w:r>
      <w:r w:rsidR="00995A5B" w:rsidRPr="00995A5B">
        <w:t>ей</w:t>
      </w:r>
      <w:r w:rsidR="00092562" w:rsidRPr="00995A5B">
        <w:t xml:space="preserve"> товаров, используемых при выполнении работ</w:t>
      </w:r>
      <w:r w:rsidR="00995A5B" w:rsidRPr="00995A5B">
        <w:t xml:space="preserve"> соответствующие значениям, установленным документацией об аукционе</w:t>
      </w:r>
      <w:r w:rsidR="00092562" w:rsidRPr="00995A5B">
        <w:t>)</w:t>
      </w:r>
      <w:r w:rsidRPr="00995A5B">
        <w:t xml:space="preserve">, следовательно, </w:t>
      </w:r>
      <w:r w:rsidR="00995A5B" w:rsidRPr="00995A5B">
        <w:t>аукционная</w:t>
      </w:r>
      <w:r w:rsidRPr="00995A5B">
        <w:t xml:space="preserve"> комиссия </w:t>
      </w:r>
      <w:r w:rsidR="00274F5D">
        <w:t>правомерно</w:t>
      </w:r>
      <w:r w:rsidRPr="00995A5B">
        <w:t xml:space="preserve"> отказала Заявителю в допуске к участию в открытом аукционе по вышеуказанн</w:t>
      </w:r>
      <w:r w:rsidR="00274F5D">
        <w:t>ому</w:t>
      </w:r>
      <w:r w:rsidRPr="00995A5B">
        <w:t xml:space="preserve"> основани</w:t>
      </w:r>
      <w:r w:rsidR="00274F5D">
        <w:t>ю</w:t>
      </w:r>
      <w:r w:rsidR="009777B9">
        <w:t>, в связи с чем жалоба признается необоснованной</w:t>
      </w:r>
      <w:r w:rsidRPr="00995A5B">
        <w:t>.</w:t>
      </w:r>
    </w:p>
    <w:p w:rsidR="00251D22" w:rsidRPr="00AC30AA" w:rsidRDefault="00251D22" w:rsidP="00AC30AA">
      <w:pPr>
        <w:autoSpaceDE w:val="0"/>
        <w:autoSpaceDN w:val="0"/>
        <w:adjustRightInd w:val="0"/>
        <w:ind w:firstLine="709"/>
        <w:jc w:val="both"/>
        <w:outlineLvl w:val="1"/>
        <w:rPr>
          <w:sz w:val="22"/>
          <w:szCs w:val="22"/>
        </w:rPr>
      </w:pPr>
    </w:p>
    <w:p w:rsidR="00AC30AA" w:rsidRPr="00274F5D" w:rsidRDefault="00995A5B" w:rsidP="00274F5D">
      <w:pPr>
        <w:widowControl w:val="0"/>
        <w:autoSpaceDE w:val="0"/>
        <w:autoSpaceDN w:val="0"/>
        <w:adjustRightInd w:val="0"/>
        <w:ind w:firstLine="709"/>
        <w:jc w:val="both"/>
        <w:rPr>
          <w:sz w:val="22"/>
          <w:szCs w:val="22"/>
        </w:rPr>
      </w:pPr>
      <w:r w:rsidRPr="00AC30AA">
        <w:rPr>
          <w:b/>
          <w:sz w:val="22"/>
          <w:szCs w:val="22"/>
        </w:rPr>
        <w:t>3.2.</w:t>
      </w:r>
      <w:r w:rsidRPr="00AC30AA">
        <w:rPr>
          <w:sz w:val="22"/>
          <w:szCs w:val="22"/>
        </w:rPr>
        <w:t xml:space="preserve"> </w:t>
      </w:r>
      <w:r w:rsidR="00AC30AA" w:rsidRPr="00AC30AA">
        <w:rPr>
          <w:sz w:val="22"/>
          <w:szCs w:val="22"/>
        </w:rPr>
        <w:t xml:space="preserve">Частью 6 статьи 41.9 Федерального закона «О размещении заказов» установлено, что На основании результатов рассмотрения первых частей заявок на участие в открытом аукционе в электронной </w:t>
      </w:r>
      <w:r w:rsidR="00AC30AA" w:rsidRPr="009777B9">
        <w:rPr>
          <w:sz w:val="22"/>
          <w:szCs w:val="22"/>
        </w:rPr>
        <w:t xml:space="preserve">форме, содержащей сведения, предусмотренные </w:t>
      </w:r>
      <w:hyperlink r:id="rId11" w:history="1">
        <w:r w:rsidR="00AC30AA" w:rsidRPr="009777B9">
          <w:rPr>
            <w:sz w:val="22"/>
            <w:szCs w:val="22"/>
          </w:rPr>
          <w:t>частью 4 статьи 41.8</w:t>
        </w:r>
      </w:hyperlink>
      <w:r w:rsidR="00AC30AA" w:rsidRPr="009777B9">
        <w:rPr>
          <w:sz w:val="22"/>
          <w:szCs w:val="22"/>
        </w:rPr>
        <w:t xml:space="preserve"> настоящего Федерального закона,</w:t>
      </w:r>
      <w:r w:rsidR="00AC30AA" w:rsidRPr="00AC30AA">
        <w:rPr>
          <w:sz w:val="22"/>
          <w:szCs w:val="22"/>
        </w:rPr>
        <w:t xml:space="preserve">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w:t>
      </w:r>
      <w:r w:rsidR="00AC30AA" w:rsidRPr="00AC30AA">
        <w:rPr>
          <w:b/>
          <w:sz w:val="22"/>
          <w:szCs w:val="22"/>
        </w:rPr>
        <w:t>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w:t>
      </w:r>
      <w:r w:rsidR="00AC30AA" w:rsidRPr="00AC30AA">
        <w:rPr>
          <w:sz w:val="22"/>
          <w:szCs w:val="22"/>
        </w:rPr>
        <w:t xml:space="preserve">, сведения о членах аукционной комиссии, принявших решение, сведения о решении каждого члена аукционной комиссии о допуске участника размещения заказа к участию в открытом аукционе или </w:t>
      </w:r>
      <w:r w:rsidR="00AC30AA" w:rsidRPr="00274F5D">
        <w:rPr>
          <w:sz w:val="22"/>
          <w:szCs w:val="22"/>
        </w:rPr>
        <w:t xml:space="preserve">об отказе в допуске к участию в открытом аукционе. </w:t>
      </w:r>
      <w:r w:rsidR="00AC30AA" w:rsidRPr="009777B9">
        <w:rPr>
          <w:b/>
          <w:sz w:val="22"/>
          <w:szCs w:val="22"/>
        </w:rPr>
        <w:t>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r w:rsidR="00AC30AA" w:rsidRPr="00274F5D">
        <w:rPr>
          <w:sz w:val="22"/>
          <w:szCs w:val="22"/>
        </w:rPr>
        <w:t>.</w:t>
      </w:r>
    </w:p>
    <w:p w:rsidR="00274F5D" w:rsidRPr="008072A1" w:rsidRDefault="00274F5D" w:rsidP="008072A1">
      <w:pPr>
        <w:widowControl w:val="0"/>
        <w:autoSpaceDE w:val="0"/>
        <w:autoSpaceDN w:val="0"/>
        <w:adjustRightInd w:val="0"/>
        <w:ind w:firstLine="709"/>
        <w:jc w:val="both"/>
        <w:rPr>
          <w:sz w:val="22"/>
          <w:szCs w:val="22"/>
        </w:rPr>
      </w:pPr>
      <w:r w:rsidRPr="00274F5D">
        <w:rPr>
          <w:sz w:val="22"/>
          <w:szCs w:val="22"/>
        </w:rPr>
        <w:t xml:space="preserve">Согласно части 7 настоящего Федерального закона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w:t>
      </w:r>
      <w:r w:rsidRPr="008072A1">
        <w:rPr>
          <w:sz w:val="22"/>
          <w:szCs w:val="22"/>
        </w:rPr>
        <w:t xml:space="preserve">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w:t>
      </w:r>
      <w:r w:rsidRPr="009777B9">
        <w:rPr>
          <w:sz w:val="22"/>
          <w:szCs w:val="22"/>
        </w:rPr>
        <w:t xml:space="preserve">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w:t>
      </w:r>
      <w:hyperlink r:id="rId12" w:history="1">
        <w:r w:rsidRPr="009777B9">
          <w:rPr>
            <w:sz w:val="22"/>
            <w:szCs w:val="22"/>
          </w:rPr>
          <w:t>части 6</w:t>
        </w:r>
      </w:hyperlink>
      <w:r w:rsidRPr="009777B9">
        <w:rPr>
          <w:sz w:val="22"/>
          <w:szCs w:val="22"/>
        </w:rPr>
        <w:t xml:space="preserve"> настоящей статьи протокол вносится информация о признании открытого аукциона несостоявшимся.</w:t>
      </w:r>
      <w:r w:rsidRPr="008072A1">
        <w:rPr>
          <w:sz w:val="22"/>
          <w:szCs w:val="22"/>
        </w:rPr>
        <w:t xml:space="preserve"> Протокол размещается заказчиком, уполномоченным органом, специализированной организацией на электронной площадке.</w:t>
      </w:r>
    </w:p>
    <w:p w:rsidR="00AC30AA" w:rsidRPr="008072A1" w:rsidRDefault="00AC30AA" w:rsidP="008072A1">
      <w:pPr>
        <w:autoSpaceDE w:val="0"/>
        <w:autoSpaceDN w:val="0"/>
        <w:adjustRightInd w:val="0"/>
        <w:ind w:firstLine="709"/>
        <w:jc w:val="both"/>
        <w:outlineLvl w:val="1"/>
        <w:rPr>
          <w:sz w:val="22"/>
          <w:szCs w:val="22"/>
        </w:rPr>
      </w:pPr>
      <w:r w:rsidRPr="008072A1">
        <w:rPr>
          <w:sz w:val="22"/>
          <w:szCs w:val="22"/>
        </w:rPr>
        <w:t xml:space="preserve">В своей жалобе Заявитель указал, что </w:t>
      </w:r>
      <w:r w:rsidRPr="008072A1">
        <w:rPr>
          <w:i/>
          <w:sz w:val="22"/>
          <w:szCs w:val="22"/>
        </w:rPr>
        <w:t>«Заказчиком не был предоставлен мотивированный отказ на участие в аукционе, а также не была представлена информация о протоколе рассмотрения заявок на участие в аукционе»</w:t>
      </w:r>
      <w:r w:rsidRPr="008072A1">
        <w:rPr>
          <w:sz w:val="22"/>
          <w:szCs w:val="22"/>
        </w:rPr>
        <w:t>.</w:t>
      </w:r>
    </w:p>
    <w:p w:rsidR="00274F5D" w:rsidRPr="00AC30AA" w:rsidRDefault="00AC30AA" w:rsidP="00274F5D">
      <w:pPr>
        <w:autoSpaceDE w:val="0"/>
        <w:autoSpaceDN w:val="0"/>
        <w:adjustRightInd w:val="0"/>
        <w:ind w:firstLine="709"/>
        <w:jc w:val="both"/>
        <w:outlineLvl w:val="1"/>
        <w:rPr>
          <w:sz w:val="22"/>
          <w:szCs w:val="22"/>
        </w:rPr>
      </w:pPr>
      <w:r w:rsidRPr="008072A1">
        <w:rPr>
          <w:sz w:val="22"/>
          <w:szCs w:val="22"/>
        </w:rPr>
        <w:t>Комиссия согласилась с доводом Заявителя и считает, что в нарушение указанной нормы протокол рассмотрения первых частей заявок на участие в аукционе от 14.05.2013 не содержит указания положений документации об открытом аукционе в электронной форме, которым не соответствует заявка на участие в открытом аукционе участника размещения заказа, положений заявки на участие в открытом аукционе, которые не соответствуют требованиям документации об открытом аукционе</w:t>
      </w:r>
      <w:r w:rsidR="009777B9">
        <w:rPr>
          <w:sz w:val="22"/>
          <w:szCs w:val="22"/>
        </w:rPr>
        <w:t>.</w:t>
      </w:r>
      <w:r w:rsidR="00274F5D" w:rsidRPr="008072A1">
        <w:rPr>
          <w:sz w:val="22"/>
          <w:szCs w:val="22"/>
        </w:rPr>
        <w:t xml:space="preserve"> </w:t>
      </w:r>
      <w:r w:rsidR="009777B9">
        <w:rPr>
          <w:sz w:val="22"/>
          <w:szCs w:val="22"/>
        </w:rPr>
        <w:t xml:space="preserve">Вместе с тем, </w:t>
      </w:r>
      <w:r w:rsidR="00274F5D">
        <w:rPr>
          <w:sz w:val="22"/>
          <w:szCs w:val="22"/>
        </w:rPr>
        <w:t>Комиссия отмечает, что исходя из содержания частей 6 и 7 статьи 41.9 Федерального закона «О размещения заказов»</w:t>
      </w:r>
      <w:r w:rsidR="009777B9">
        <w:rPr>
          <w:sz w:val="22"/>
          <w:szCs w:val="22"/>
        </w:rPr>
        <w:t xml:space="preserve">, у заказчика отсутствует обязанность </w:t>
      </w:r>
      <w:r w:rsidR="00E93133">
        <w:rPr>
          <w:sz w:val="22"/>
          <w:szCs w:val="22"/>
        </w:rPr>
        <w:t>предоставления участнику размещения заказа</w:t>
      </w:r>
      <w:r w:rsidR="009777B9">
        <w:rPr>
          <w:sz w:val="22"/>
          <w:szCs w:val="22"/>
        </w:rPr>
        <w:t xml:space="preserve"> протокола</w:t>
      </w:r>
      <w:r w:rsidR="00274F5D">
        <w:rPr>
          <w:sz w:val="22"/>
          <w:szCs w:val="22"/>
        </w:rPr>
        <w:t xml:space="preserve"> рассмотрения первых частей заявок</w:t>
      </w:r>
      <w:r w:rsidR="00E93133">
        <w:rPr>
          <w:sz w:val="22"/>
          <w:szCs w:val="22"/>
        </w:rPr>
        <w:t xml:space="preserve">, поскольку в данном случае заказчик был обязан направить указанный протокол </w:t>
      </w:r>
      <w:r w:rsidR="00274F5D">
        <w:rPr>
          <w:sz w:val="22"/>
          <w:szCs w:val="22"/>
        </w:rPr>
        <w:t xml:space="preserve"> </w:t>
      </w:r>
      <w:r w:rsidR="00E93133">
        <w:rPr>
          <w:sz w:val="22"/>
          <w:szCs w:val="22"/>
        </w:rPr>
        <w:t>только оператору электронной площадки, следовательно, вышеприведенный довод жалобы признается частично обоснованным.</w:t>
      </w:r>
    </w:p>
    <w:p w:rsidR="00092562" w:rsidRDefault="00092562" w:rsidP="00AC30AA">
      <w:pPr>
        <w:autoSpaceDE w:val="0"/>
        <w:autoSpaceDN w:val="0"/>
        <w:adjustRightInd w:val="0"/>
        <w:ind w:firstLine="709"/>
        <w:jc w:val="both"/>
        <w:outlineLvl w:val="1"/>
        <w:rPr>
          <w:sz w:val="22"/>
          <w:szCs w:val="22"/>
        </w:rPr>
      </w:pPr>
    </w:p>
    <w:p w:rsidR="009777B9" w:rsidRDefault="009777B9" w:rsidP="00AC30AA">
      <w:pPr>
        <w:autoSpaceDE w:val="0"/>
        <w:autoSpaceDN w:val="0"/>
        <w:adjustRightInd w:val="0"/>
        <w:ind w:firstLine="709"/>
        <w:jc w:val="both"/>
        <w:outlineLvl w:val="1"/>
        <w:rPr>
          <w:sz w:val="22"/>
          <w:szCs w:val="22"/>
        </w:rPr>
      </w:pPr>
    </w:p>
    <w:p w:rsidR="00BF2588" w:rsidRPr="00995A5B" w:rsidRDefault="009D12F3" w:rsidP="00AC30AA">
      <w:pPr>
        <w:autoSpaceDE w:val="0"/>
        <w:autoSpaceDN w:val="0"/>
        <w:adjustRightInd w:val="0"/>
        <w:ind w:firstLine="709"/>
        <w:jc w:val="both"/>
        <w:outlineLvl w:val="1"/>
        <w:rPr>
          <w:sz w:val="22"/>
          <w:szCs w:val="22"/>
        </w:rPr>
      </w:pPr>
      <w:r w:rsidRPr="00AC30AA">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AC30AA">
        <w:rPr>
          <w:sz w:val="22"/>
          <w:szCs w:val="22"/>
        </w:rPr>
        <w:t xml:space="preserve">пунктами 3.35 и 3.37 Административного </w:t>
      </w:r>
      <w:r w:rsidR="00BF2588" w:rsidRPr="00AC30AA">
        <w:rPr>
          <w:sz w:val="22"/>
          <w:szCs w:val="22"/>
        </w:rPr>
        <w:lastRenderedPageBreak/>
        <w:t>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w:t>
      </w:r>
      <w:r w:rsidR="00BF2588" w:rsidRPr="00995A5B">
        <w:rPr>
          <w:sz w:val="22"/>
          <w:szCs w:val="22"/>
        </w:rPr>
        <w:t xml:space="preserve">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Default="00274F5D" w:rsidP="002F45ED">
      <w:pPr>
        <w:jc w:val="center"/>
        <w:rPr>
          <w:sz w:val="22"/>
          <w:szCs w:val="22"/>
        </w:rPr>
      </w:pPr>
    </w:p>
    <w:p w:rsidR="009B3753" w:rsidRPr="00995A5B" w:rsidRDefault="009B3753" w:rsidP="002F45ED">
      <w:pPr>
        <w:jc w:val="center"/>
        <w:rPr>
          <w:sz w:val="22"/>
          <w:szCs w:val="22"/>
        </w:rPr>
      </w:pPr>
      <w:r w:rsidRPr="00995A5B">
        <w:rPr>
          <w:sz w:val="22"/>
          <w:szCs w:val="22"/>
        </w:rPr>
        <w:t>Р Е Ш И Л А:</w:t>
      </w:r>
    </w:p>
    <w:p w:rsidR="009B3753" w:rsidRPr="00995A5B" w:rsidRDefault="009B3753" w:rsidP="00982E58">
      <w:pPr>
        <w:tabs>
          <w:tab w:val="left" w:pos="-1820"/>
          <w:tab w:val="left" w:pos="-1400"/>
          <w:tab w:val="left" w:pos="700"/>
        </w:tabs>
        <w:ind w:firstLine="709"/>
        <w:jc w:val="both"/>
        <w:rPr>
          <w:b/>
          <w:sz w:val="22"/>
          <w:szCs w:val="22"/>
        </w:rPr>
      </w:pPr>
    </w:p>
    <w:p w:rsidR="007018DD" w:rsidRPr="004540E7" w:rsidRDefault="007071E0" w:rsidP="007018DD">
      <w:pPr>
        <w:tabs>
          <w:tab w:val="left" w:pos="763"/>
        </w:tabs>
        <w:ind w:firstLine="709"/>
        <w:jc w:val="both"/>
        <w:rPr>
          <w:sz w:val="22"/>
          <w:szCs w:val="22"/>
        </w:rPr>
      </w:pPr>
      <w:r w:rsidRPr="007071E0">
        <w:rPr>
          <w:b/>
          <w:sz w:val="22"/>
          <w:szCs w:val="22"/>
        </w:rPr>
        <w:t>1.</w:t>
      </w:r>
      <w:r>
        <w:rPr>
          <w:sz w:val="22"/>
          <w:szCs w:val="22"/>
        </w:rPr>
        <w:t xml:space="preserve"> </w:t>
      </w:r>
      <w:r w:rsidR="007335C3" w:rsidRPr="00995A5B">
        <w:rPr>
          <w:sz w:val="22"/>
          <w:szCs w:val="22"/>
        </w:rPr>
        <w:t>Признать</w:t>
      </w:r>
      <w:r w:rsidR="007335C3" w:rsidRPr="00995A5B">
        <w:rPr>
          <w:b/>
          <w:sz w:val="22"/>
          <w:szCs w:val="22"/>
        </w:rPr>
        <w:t xml:space="preserve"> </w:t>
      </w:r>
      <w:r>
        <w:rPr>
          <w:b/>
          <w:sz w:val="22"/>
          <w:szCs w:val="22"/>
        </w:rPr>
        <w:t xml:space="preserve">частично </w:t>
      </w:r>
      <w:r w:rsidR="007335C3" w:rsidRPr="00995A5B">
        <w:rPr>
          <w:b/>
          <w:sz w:val="22"/>
          <w:szCs w:val="22"/>
        </w:rPr>
        <w:t>обоснованной</w:t>
      </w:r>
      <w:r w:rsidR="007335C3" w:rsidRPr="00995A5B">
        <w:rPr>
          <w:sz w:val="22"/>
          <w:szCs w:val="22"/>
        </w:rPr>
        <w:t xml:space="preserve"> </w:t>
      </w:r>
      <w:r w:rsidR="007335C3" w:rsidRPr="00995A5B">
        <w:rPr>
          <w:bCs/>
          <w:sz w:val="22"/>
          <w:szCs w:val="22"/>
        </w:rPr>
        <w:t>жалобу</w:t>
      </w:r>
      <w:r w:rsidR="007335C3" w:rsidRPr="00995A5B">
        <w:rPr>
          <w:sz w:val="22"/>
          <w:szCs w:val="22"/>
        </w:rPr>
        <w:t xml:space="preserve"> </w:t>
      </w:r>
      <w:r w:rsidRPr="00995A5B">
        <w:rPr>
          <w:sz w:val="22"/>
          <w:szCs w:val="22"/>
        </w:rPr>
        <w:t xml:space="preserve">ООО «Производственная фирма </w:t>
      </w:r>
      <w:r w:rsidR="004540E7">
        <w:rPr>
          <w:sz w:val="22"/>
          <w:szCs w:val="22"/>
        </w:rPr>
        <w:t>«Барс» на действия Ф</w:t>
      </w:r>
      <w:r w:rsidRPr="00995A5B">
        <w:rPr>
          <w:sz w:val="22"/>
          <w:szCs w:val="22"/>
        </w:rPr>
        <w:t>едерально</w:t>
      </w:r>
      <w:r w:rsidR="004540E7">
        <w:rPr>
          <w:sz w:val="22"/>
          <w:szCs w:val="22"/>
        </w:rPr>
        <w:t>го</w:t>
      </w:r>
      <w:r w:rsidRPr="00995A5B">
        <w:rPr>
          <w:sz w:val="22"/>
          <w:szCs w:val="22"/>
        </w:rPr>
        <w:t xml:space="preserve"> казенно</w:t>
      </w:r>
      <w:r w:rsidR="004540E7">
        <w:rPr>
          <w:sz w:val="22"/>
          <w:szCs w:val="22"/>
        </w:rPr>
        <w:t>го учреждения</w:t>
      </w:r>
      <w:r w:rsidRPr="00995A5B">
        <w:rPr>
          <w:sz w:val="22"/>
          <w:szCs w:val="22"/>
        </w:rPr>
        <w:t xml:space="preserve"> здравоохранения «Медико-санитарная часть Министерства внутренних дел Российской Федерации по Омской области» и его аукционной комиссии  при проведении </w:t>
      </w:r>
      <w:r w:rsidRPr="004540E7">
        <w:rPr>
          <w:sz w:val="22"/>
          <w:szCs w:val="22"/>
        </w:rPr>
        <w:t xml:space="preserve">открытого аукциона в электронной форме </w:t>
      </w:r>
      <w:r w:rsidRPr="004540E7">
        <w:rPr>
          <w:rStyle w:val="iceouttxt1"/>
          <w:rFonts w:ascii="Times New Roman" w:hAnsi="Times New Roman" w:cs="Times New Roman"/>
          <w:color w:val="auto"/>
          <w:sz w:val="22"/>
          <w:szCs w:val="22"/>
        </w:rPr>
        <w:t>н</w:t>
      </w:r>
      <w:r w:rsidRPr="004540E7">
        <w:rPr>
          <w:sz w:val="22"/>
          <w:szCs w:val="22"/>
        </w:rPr>
        <w:t>а право заключения государственного контракта на выполнение работ по капитальному ремонту (замена окон) госпиталя ФКУЗ «МСЧ МВД России по Омской области»</w:t>
      </w:r>
      <w:r w:rsidR="001C135C" w:rsidRPr="004540E7">
        <w:rPr>
          <w:sz w:val="22"/>
          <w:szCs w:val="22"/>
        </w:rPr>
        <w:t xml:space="preserve">, при этом считать обоснованным довод </w:t>
      </w:r>
      <w:r w:rsidR="004540E7">
        <w:rPr>
          <w:sz w:val="22"/>
          <w:szCs w:val="22"/>
        </w:rPr>
        <w:t xml:space="preserve">жалобы </w:t>
      </w:r>
      <w:r w:rsidR="001C135C" w:rsidRPr="004540E7">
        <w:rPr>
          <w:sz w:val="22"/>
          <w:szCs w:val="22"/>
        </w:rPr>
        <w:t>о</w:t>
      </w:r>
      <w:r w:rsidR="004540E7" w:rsidRPr="004540E7">
        <w:rPr>
          <w:sz w:val="22"/>
          <w:szCs w:val="22"/>
        </w:rPr>
        <w:t>б отсутствии в основаниях отказа в допуске к участию в аукционе</w:t>
      </w:r>
      <w:r w:rsidR="001C135C" w:rsidRPr="004540E7">
        <w:rPr>
          <w:sz w:val="22"/>
          <w:szCs w:val="22"/>
        </w:rPr>
        <w:t xml:space="preserve"> </w:t>
      </w:r>
      <w:r w:rsidR="004540E7" w:rsidRPr="004540E7">
        <w:rPr>
          <w:sz w:val="22"/>
          <w:szCs w:val="22"/>
        </w:rPr>
        <w:t>ООО «Производственная фирма «Барс» указани</w:t>
      </w:r>
      <w:r w:rsidR="004540E7">
        <w:rPr>
          <w:sz w:val="22"/>
          <w:szCs w:val="22"/>
        </w:rPr>
        <w:t>й</w:t>
      </w:r>
      <w:r w:rsidR="004540E7" w:rsidRPr="004540E7">
        <w:rPr>
          <w:sz w:val="22"/>
          <w:szCs w:val="22"/>
        </w:rPr>
        <w:t xml:space="preserve">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 </w:t>
      </w:r>
    </w:p>
    <w:p w:rsidR="002314EF" w:rsidRPr="00995A5B" w:rsidRDefault="002314EF" w:rsidP="00982E58">
      <w:pPr>
        <w:ind w:firstLine="709"/>
        <w:jc w:val="both"/>
        <w:rPr>
          <w:snapToGrid w:val="0"/>
          <w:sz w:val="22"/>
          <w:szCs w:val="22"/>
        </w:rPr>
      </w:pPr>
    </w:p>
    <w:p w:rsidR="007071E0" w:rsidRPr="00F0419D" w:rsidRDefault="007071E0" w:rsidP="007071E0">
      <w:pPr>
        <w:autoSpaceDE w:val="0"/>
        <w:autoSpaceDN w:val="0"/>
        <w:adjustRightInd w:val="0"/>
        <w:ind w:firstLine="709"/>
        <w:jc w:val="both"/>
        <w:rPr>
          <w:sz w:val="22"/>
          <w:szCs w:val="22"/>
        </w:rPr>
      </w:pPr>
      <w:r w:rsidRPr="00F0419D">
        <w:rPr>
          <w:b/>
          <w:sz w:val="22"/>
          <w:szCs w:val="22"/>
        </w:rPr>
        <w:t>2.</w:t>
      </w:r>
      <w:r w:rsidRPr="00F0419D">
        <w:rPr>
          <w:sz w:val="22"/>
          <w:szCs w:val="22"/>
        </w:rPr>
        <w:t xml:space="preserve"> Признать в действиях </w:t>
      </w:r>
      <w:r w:rsidR="004540E7">
        <w:rPr>
          <w:sz w:val="22"/>
          <w:szCs w:val="22"/>
        </w:rPr>
        <w:t>Ф</w:t>
      </w:r>
      <w:r w:rsidRPr="00995A5B">
        <w:rPr>
          <w:sz w:val="22"/>
          <w:szCs w:val="22"/>
        </w:rPr>
        <w:t>едерально</w:t>
      </w:r>
      <w:r>
        <w:rPr>
          <w:sz w:val="22"/>
          <w:szCs w:val="22"/>
        </w:rPr>
        <w:t>го</w:t>
      </w:r>
      <w:r w:rsidRPr="00995A5B">
        <w:rPr>
          <w:sz w:val="22"/>
          <w:szCs w:val="22"/>
        </w:rPr>
        <w:t xml:space="preserve"> казенно</w:t>
      </w:r>
      <w:r>
        <w:rPr>
          <w:sz w:val="22"/>
          <w:szCs w:val="22"/>
        </w:rPr>
        <w:t>го</w:t>
      </w:r>
      <w:r w:rsidRPr="00995A5B">
        <w:rPr>
          <w:sz w:val="22"/>
          <w:szCs w:val="22"/>
        </w:rPr>
        <w:t xml:space="preserve"> учреждени</w:t>
      </w:r>
      <w:r>
        <w:rPr>
          <w:sz w:val="22"/>
          <w:szCs w:val="22"/>
        </w:rPr>
        <w:t>я</w:t>
      </w:r>
      <w:r w:rsidRPr="00995A5B">
        <w:rPr>
          <w:sz w:val="22"/>
          <w:szCs w:val="22"/>
        </w:rPr>
        <w:t xml:space="preserve"> здравоохранения «Медико-санитарная часть Министерства внутренних дел Российской Федерации по Омской области» и его аукционной комиссии</w:t>
      </w:r>
      <w:r w:rsidRPr="000577C0">
        <w:rPr>
          <w:sz w:val="22"/>
          <w:szCs w:val="22"/>
        </w:rPr>
        <w:t xml:space="preserve"> </w:t>
      </w:r>
      <w:r w:rsidRPr="00F0419D">
        <w:rPr>
          <w:sz w:val="22"/>
          <w:szCs w:val="22"/>
        </w:rPr>
        <w:t xml:space="preserve">нарушение требований </w:t>
      </w:r>
      <w:r>
        <w:rPr>
          <w:sz w:val="22"/>
          <w:szCs w:val="22"/>
        </w:rPr>
        <w:t>части 6 статьи 41.9</w:t>
      </w:r>
      <w:r w:rsidRPr="00F0419D">
        <w:rPr>
          <w:sz w:val="22"/>
          <w:szCs w:val="22"/>
        </w:rPr>
        <w:t xml:space="preserve"> Федерального закона «О размещении заказов»</w:t>
      </w:r>
      <w:r w:rsidRPr="00F0419D">
        <w:rPr>
          <w:iCs/>
          <w:sz w:val="22"/>
          <w:szCs w:val="22"/>
        </w:rPr>
        <w:t>.</w:t>
      </w:r>
    </w:p>
    <w:p w:rsidR="007071E0" w:rsidRPr="00B35C71" w:rsidRDefault="007071E0" w:rsidP="007071E0">
      <w:pPr>
        <w:ind w:firstLine="709"/>
        <w:jc w:val="both"/>
        <w:rPr>
          <w:b/>
          <w:sz w:val="22"/>
          <w:szCs w:val="22"/>
        </w:rPr>
      </w:pPr>
    </w:p>
    <w:p w:rsidR="007071E0" w:rsidRPr="00B35C71" w:rsidRDefault="007071E0" w:rsidP="007071E0">
      <w:pPr>
        <w:ind w:firstLine="709"/>
        <w:jc w:val="both"/>
        <w:rPr>
          <w:snapToGrid w:val="0"/>
          <w:sz w:val="22"/>
          <w:szCs w:val="22"/>
        </w:rPr>
      </w:pPr>
      <w:r w:rsidRPr="00B35C71">
        <w:rPr>
          <w:b/>
          <w:sz w:val="22"/>
          <w:szCs w:val="22"/>
        </w:rPr>
        <w:t xml:space="preserve">3. </w:t>
      </w:r>
      <w:r w:rsidRPr="00B35C71">
        <w:rPr>
          <w:sz w:val="22"/>
          <w:szCs w:val="22"/>
        </w:rPr>
        <w:t>В соответствии с частью 9 статьи 17 Федерального закона «О размещении заказо</w:t>
      </w:r>
      <w:r w:rsidR="004540E7">
        <w:rPr>
          <w:sz w:val="22"/>
          <w:szCs w:val="22"/>
        </w:rPr>
        <w:t>в» выдать Ф</w:t>
      </w:r>
      <w:r w:rsidRPr="00B35C71">
        <w:rPr>
          <w:sz w:val="22"/>
          <w:szCs w:val="22"/>
        </w:rPr>
        <w:t xml:space="preserve">едеральному казенному учреждению здравоохранения «Медико-санитарная часть Министерства внутренних дел Российской Федерации по Омской области» и его аукционной комиссии предписание </w:t>
      </w:r>
      <w:r w:rsidRPr="00B35C71">
        <w:rPr>
          <w:snapToGrid w:val="0"/>
          <w:sz w:val="22"/>
          <w:szCs w:val="22"/>
        </w:rPr>
        <w:t xml:space="preserve">об устранении нарушений законодательства о размещении заказов. </w:t>
      </w:r>
    </w:p>
    <w:p w:rsidR="007071E0" w:rsidRPr="00B35C71" w:rsidRDefault="007071E0" w:rsidP="00982E58">
      <w:pPr>
        <w:ind w:firstLine="709"/>
        <w:jc w:val="both"/>
        <w:rPr>
          <w:sz w:val="22"/>
          <w:szCs w:val="22"/>
        </w:rPr>
      </w:pPr>
    </w:p>
    <w:p w:rsidR="00B35C71" w:rsidRPr="00B35C71" w:rsidRDefault="00B35C71" w:rsidP="00B35C71">
      <w:pPr>
        <w:pStyle w:val="ConsPlusNonformat"/>
        <w:widowControl/>
        <w:ind w:firstLine="708"/>
        <w:jc w:val="both"/>
        <w:outlineLvl w:val="0"/>
        <w:rPr>
          <w:rFonts w:ascii="Times New Roman" w:hAnsi="Times New Roman" w:cs="Times New Roman"/>
          <w:sz w:val="22"/>
          <w:szCs w:val="22"/>
        </w:rPr>
      </w:pPr>
      <w:r w:rsidRPr="00B35C71">
        <w:rPr>
          <w:rFonts w:ascii="Times New Roman" w:hAnsi="Times New Roman" w:cs="Times New Roman"/>
          <w:b/>
          <w:sz w:val="22"/>
          <w:szCs w:val="22"/>
        </w:rPr>
        <w:t xml:space="preserve">4. </w:t>
      </w:r>
      <w:r w:rsidRPr="00B35C71">
        <w:rPr>
          <w:rFonts w:ascii="Times New Roman" w:hAnsi="Times New Roman" w:cs="Times New Roman"/>
          <w:sz w:val="22"/>
          <w:szCs w:val="22"/>
        </w:rPr>
        <w:t xml:space="preserve">По фактам выявленных нарушений законодательства о размещении заказов передать материалы </w:t>
      </w:r>
      <w:r w:rsidR="004540E7">
        <w:rPr>
          <w:rFonts w:ascii="Times New Roman" w:hAnsi="Times New Roman" w:cs="Times New Roman"/>
          <w:sz w:val="22"/>
          <w:szCs w:val="22"/>
        </w:rPr>
        <w:t>рассмотрения настоящей жалобы</w:t>
      </w:r>
      <w:r w:rsidRPr="00B35C71">
        <w:rPr>
          <w:rFonts w:ascii="Times New Roman" w:hAnsi="Times New Roman" w:cs="Times New Roman"/>
          <w:sz w:val="22"/>
          <w:szCs w:val="22"/>
        </w:rPr>
        <w:t xml:space="preserve"> должностному лицу Омского УФАС России для рассмотрения вопроса о возбуждении дела об административном правонарушении</w:t>
      </w:r>
      <w:r w:rsidR="004540E7">
        <w:rPr>
          <w:rFonts w:ascii="Times New Roman" w:hAnsi="Times New Roman" w:cs="Times New Roman"/>
          <w:sz w:val="22"/>
          <w:szCs w:val="22"/>
        </w:rPr>
        <w:t xml:space="preserve">. </w:t>
      </w:r>
      <w:r w:rsidRPr="00B35C71">
        <w:rPr>
          <w:rFonts w:ascii="Times New Roman" w:hAnsi="Times New Roman" w:cs="Times New Roman"/>
          <w:sz w:val="22"/>
          <w:szCs w:val="22"/>
        </w:rPr>
        <w:t xml:space="preserve">  </w:t>
      </w:r>
    </w:p>
    <w:p w:rsidR="00B35C71" w:rsidRPr="00B35C71" w:rsidRDefault="00B35C71" w:rsidP="00982E58">
      <w:pPr>
        <w:ind w:firstLine="709"/>
        <w:jc w:val="both"/>
        <w:rPr>
          <w:sz w:val="22"/>
          <w:szCs w:val="22"/>
        </w:rPr>
      </w:pPr>
    </w:p>
    <w:p w:rsidR="009B3753" w:rsidRPr="00B35C71" w:rsidRDefault="009B3753" w:rsidP="00982E58">
      <w:pPr>
        <w:ind w:firstLine="709"/>
        <w:jc w:val="both"/>
        <w:rPr>
          <w:sz w:val="22"/>
          <w:szCs w:val="22"/>
        </w:rPr>
      </w:pPr>
      <w:r w:rsidRPr="00B35C71">
        <w:rPr>
          <w:sz w:val="22"/>
          <w:szCs w:val="22"/>
        </w:rPr>
        <w:t>Настоящее решение может быть обжаловано в судебном порядке в течение трех месяцев со дня его принятия.</w:t>
      </w:r>
    </w:p>
    <w:p w:rsidR="00C71CFC" w:rsidRPr="00995A5B" w:rsidRDefault="00C71CFC" w:rsidP="008547C5">
      <w:pPr>
        <w:jc w:val="both"/>
        <w:rPr>
          <w:sz w:val="22"/>
          <w:szCs w:val="22"/>
        </w:rPr>
      </w:pPr>
    </w:p>
    <w:tbl>
      <w:tblPr>
        <w:tblW w:w="0" w:type="auto"/>
        <w:tblLook w:val="01E0"/>
      </w:tblPr>
      <w:tblGrid>
        <w:gridCol w:w="5211"/>
        <w:gridCol w:w="5211"/>
      </w:tblGrid>
      <w:tr w:rsidR="003F3F18" w:rsidRPr="00995A5B" w:rsidTr="00154A8F">
        <w:trPr>
          <w:trHeight w:hRule="exact" w:val="484"/>
        </w:trPr>
        <w:tc>
          <w:tcPr>
            <w:tcW w:w="5211" w:type="dxa"/>
          </w:tcPr>
          <w:p w:rsidR="003F3F18" w:rsidRPr="00995A5B" w:rsidRDefault="003F3F18" w:rsidP="008547C5">
            <w:pPr>
              <w:spacing w:after="60" w:line="360" w:lineRule="auto"/>
              <w:rPr>
                <w:sz w:val="22"/>
                <w:szCs w:val="22"/>
              </w:rPr>
            </w:pPr>
            <w:r w:rsidRPr="00995A5B">
              <w:rPr>
                <w:sz w:val="22"/>
                <w:szCs w:val="22"/>
              </w:rPr>
              <w:t>Председател</w:t>
            </w:r>
            <w:r w:rsidR="00F01489" w:rsidRPr="00995A5B">
              <w:rPr>
                <w:sz w:val="22"/>
                <w:szCs w:val="22"/>
              </w:rPr>
              <w:t>ь</w:t>
            </w:r>
            <w:r w:rsidRPr="00995A5B">
              <w:rPr>
                <w:sz w:val="22"/>
                <w:szCs w:val="22"/>
              </w:rPr>
              <w:t xml:space="preserve"> Комиссии</w:t>
            </w:r>
          </w:p>
          <w:p w:rsidR="00154A8F" w:rsidRPr="00995A5B" w:rsidRDefault="00154A8F" w:rsidP="008547C5">
            <w:pPr>
              <w:spacing w:after="60" w:line="360" w:lineRule="auto"/>
              <w:rPr>
                <w:sz w:val="22"/>
                <w:szCs w:val="22"/>
              </w:rPr>
            </w:pPr>
          </w:p>
          <w:p w:rsidR="00154A8F" w:rsidRPr="00995A5B" w:rsidRDefault="00154A8F" w:rsidP="008547C5">
            <w:pPr>
              <w:spacing w:after="60" w:line="360" w:lineRule="auto"/>
              <w:rPr>
                <w:sz w:val="22"/>
                <w:szCs w:val="22"/>
              </w:rPr>
            </w:pPr>
          </w:p>
          <w:p w:rsidR="00154A8F" w:rsidRPr="00995A5B" w:rsidRDefault="00154A8F" w:rsidP="008547C5">
            <w:pPr>
              <w:spacing w:after="60" w:line="360" w:lineRule="auto"/>
              <w:rPr>
                <w:sz w:val="22"/>
                <w:szCs w:val="22"/>
              </w:rPr>
            </w:pPr>
          </w:p>
        </w:tc>
        <w:tc>
          <w:tcPr>
            <w:tcW w:w="5211" w:type="dxa"/>
          </w:tcPr>
          <w:p w:rsidR="003F3F18" w:rsidRPr="00995A5B" w:rsidRDefault="00B35A35" w:rsidP="008547C5">
            <w:pPr>
              <w:spacing w:after="60" w:line="360" w:lineRule="auto"/>
              <w:jc w:val="right"/>
              <w:rPr>
                <w:sz w:val="22"/>
                <w:szCs w:val="22"/>
              </w:rPr>
            </w:pPr>
            <w:r w:rsidRPr="00995A5B">
              <w:rPr>
                <w:sz w:val="22"/>
                <w:szCs w:val="22"/>
              </w:rPr>
              <w:t>Т.П.Шмакова</w:t>
            </w:r>
          </w:p>
          <w:p w:rsidR="00154A8F" w:rsidRPr="00995A5B" w:rsidRDefault="00154A8F" w:rsidP="008547C5">
            <w:pPr>
              <w:spacing w:after="60" w:line="360" w:lineRule="auto"/>
              <w:jc w:val="right"/>
              <w:rPr>
                <w:sz w:val="22"/>
                <w:szCs w:val="22"/>
              </w:rPr>
            </w:pPr>
          </w:p>
          <w:p w:rsidR="00154A8F" w:rsidRPr="00995A5B" w:rsidRDefault="00154A8F" w:rsidP="008547C5">
            <w:pPr>
              <w:spacing w:after="60" w:line="360" w:lineRule="auto"/>
              <w:jc w:val="right"/>
              <w:rPr>
                <w:sz w:val="22"/>
                <w:szCs w:val="22"/>
              </w:rPr>
            </w:pPr>
          </w:p>
        </w:tc>
      </w:tr>
      <w:tr w:rsidR="00FA2625" w:rsidRPr="00995A5B" w:rsidTr="00154A8F">
        <w:trPr>
          <w:trHeight w:hRule="exact" w:val="425"/>
        </w:trPr>
        <w:tc>
          <w:tcPr>
            <w:tcW w:w="5211" w:type="dxa"/>
          </w:tcPr>
          <w:p w:rsidR="00FA2625" w:rsidRPr="00995A5B" w:rsidRDefault="00C71CFC" w:rsidP="008547C5">
            <w:pPr>
              <w:spacing w:after="60" w:line="360" w:lineRule="auto"/>
              <w:rPr>
                <w:sz w:val="22"/>
                <w:szCs w:val="22"/>
              </w:rPr>
            </w:pPr>
            <w:r w:rsidRPr="00995A5B">
              <w:rPr>
                <w:sz w:val="22"/>
                <w:szCs w:val="22"/>
              </w:rPr>
              <w:t>Члены Комиссии:</w:t>
            </w:r>
          </w:p>
        </w:tc>
        <w:tc>
          <w:tcPr>
            <w:tcW w:w="5211" w:type="dxa"/>
          </w:tcPr>
          <w:p w:rsidR="00FA2625" w:rsidRPr="00995A5B" w:rsidRDefault="00FE27CC" w:rsidP="008547C5">
            <w:pPr>
              <w:spacing w:after="60" w:line="360" w:lineRule="auto"/>
              <w:jc w:val="right"/>
              <w:rPr>
                <w:sz w:val="22"/>
                <w:szCs w:val="22"/>
              </w:rPr>
            </w:pPr>
            <w:r w:rsidRPr="00995A5B">
              <w:rPr>
                <w:sz w:val="22"/>
                <w:szCs w:val="22"/>
              </w:rPr>
              <w:t>А.Н Шевченко</w:t>
            </w:r>
          </w:p>
        </w:tc>
      </w:tr>
      <w:tr w:rsidR="00655564" w:rsidRPr="00995A5B" w:rsidTr="00154A8F">
        <w:trPr>
          <w:trHeight w:hRule="exact" w:val="424"/>
        </w:trPr>
        <w:tc>
          <w:tcPr>
            <w:tcW w:w="5211" w:type="dxa"/>
          </w:tcPr>
          <w:p w:rsidR="00655564" w:rsidRPr="00995A5B" w:rsidRDefault="00655564" w:rsidP="008547C5">
            <w:pPr>
              <w:spacing w:after="60" w:line="360" w:lineRule="auto"/>
              <w:rPr>
                <w:sz w:val="22"/>
                <w:szCs w:val="22"/>
              </w:rPr>
            </w:pPr>
          </w:p>
        </w:tc>
        <w:tc>
          <w:tcPr>
            <w:tcW w:w="5211" w:type="dxa"/>
          </w:tcPr>
          <w:p w:rsidR="00655564" w:rsidRPr="00995A5B" w:rsidRDefault="00655564" w:rsidP="008547C5">
            <w:pPr>
              <w:spacing w:after="60" w:line="360" w:lineRule="auto"/>
              <w:jc w:val="right"/>
              <w:rPr>
                <w:sz w:val="22"/>
                <w:szCs w:val="22"/>
              </w:rPr>
            </w:pPr>
            <w:r w:rsidRPr="00995A5B">
              <w:rPr>
                <w:sz w:val="22"/>
                <w:szCs w:val="22"/>
              </w:rPr>
              <w:t>А.В.Вормсбехер</w:t>
            </w:r>
          </w:p>
        </w:tc>
      </w:tr>
      <w:tr w:rsidR="004F5C0D" w:rsidRPr="00995A5B" w:rsidTr="00154A8F">
        <w:trPr>
          <w:trHeight w:hRule="exact" w:val="424"/>
        </w:trPr>
        <w:tc>
          <w:tcPr>
            <w:tcW w:w="5211" w:type="dxa"/>
          </w:tcPr>
          <w:p w:rsidR="004F5C0D" w:rsidRPr="00995A5B" w:rsidRDefault="004F5C0D" w:rsidP="008547C5">
            <w:pPr>
              <w:spacing w:after="60" w:line="360" w:lineRule="auto"/>
              <w:rPr>
                <w:sz w:val="22"/>
                <w:szCs w:val="22"/>
              </w:rPr>
            </w:pPr>
          </w:p>
        </w:tc>
        <w:tc>
          <w:tcPr>
            <w:tcW w:w="5211" w:type="dxa"/>
          </w:tcPr>
          <w:p w:rsidR="004F5C0D" w:rsidRPr="00995A5B" w:rsidRDefault="004F5C0D" w:rsidP="008547C5">
            <w:pPr>
              <w:spacing w:after="60" w:line="360" w:lineRule="auto"/>
              <w:jc w:val="right"/>
              <w:rPr>
                <w:sz w:val="22"/>
                <w:szCs w:val="22"/>
              </w:rPr>
            </w:pPr>
            <w:r w:rsidRPr="00995A5B">
              <w:rPr>
                <w:sz w:val="22"/>
                <w:szCs w:val="22"/>
              </w:rPr>
              <w:t>Ш.М.Кусанова</w:t>
            </w:r>
          </w:p>
        </w:tc>
      </w:tr>
      <w:tr w:rsidR="001C135C" w:rsidRPr="00995A5B" w:rsidTr="00154A8F">
        <w:trPr>
          <w:trHeight w:hRule="exact" w:val="424"/>
        </w:trPr>
        <w:tc>
          <w:tcPr>
            <w:tcW w:w="5211" w:type="dxa"/>
          </w:tcPr>
          <w:p w:rsidR="001C135C" w:rsidRPr="00995A5B" w:rsidRDefault="001C135C" w:rsidP="008547C5">
            <w:pPr>
              <w:spacing w:after="60" w:line="360" w:lineRule="auto"/>
              <w:rPr>
                <w:sz w:val="22"/>
                <w:szCs w:val="22"/>
              </w:rPr>
            </w:pPr>
          </w:p>
        </w:tc>
        <w:tc>
          <w:tcPr>
            <w:tcW w:w="5211" w:type="dxa"/>
          </w:tcPr>
          <w:p w:rsidR="001C135C" w:rsidRPr="00995A5B" w:rsidRDefault="001C135C" w:rsidP="008547C5">
            <w:pPr>
              <w:spacing w:after="60" w:line="360" w:lineRule="auto"/>
              <w:jc w:val="right"/>
              <w:rPr>
                <w:sz w:val="22"/>
                <w:szCs w:val="22"/>
              </w:rPr>
            </w:pPr>
            <w:r>
              <w:rPr>
                <w:sz w:val="22"/>
                <w:szCs w:val="22"/>
              </w:rPr>
              <w:t>А.П.Алексина</w:t>
            </w:r>
          </w:p>
        </w:tc>
      </w:tr>
    </w:tbl>
    <w:p w:rsidR="00782B70" w:rsidRPr="00995A5B" w:rsidRDefault="00782B70" w:rsidP="00C60CF1">
      <w:pPr>
        <w:jc w:val="both"/>
        <w:rPr>
          <w:sz w:val="22"/>
          <w:szCs w:val="22"/>
        </w:rPr>
      </w:pPr>
    </w:p>
    <w:sectPr w:rsidR="00782B70" w:rsidRPr="00995A5B"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861" w:rsidRDefault="00056861">
      <w:r>
        <w:separator/>
      </w:r>
    </w:p>
  </w:endnote>
  <w:endnote w:type="continuationSeparator" w:id="1">
    <w:p w:rsidR="00056861" w:rsidRDefault="00056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861" w:rsidRDefault="00056861">
      <w:r>
        <w:separator/>
      </w:r>
    </w:p>
  </w:footnote>
  <w:footnote w:type="continuationSeparator" w:id="1">
    <w:p w:rsidR="00056861" w:rsidRDefault="00056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B9" w:rsidRDefault="00094545" w:rsidP="008E7D00">
    <w:pPr>
      <w:pStyle w:val="ab"/>
      <w:framePr w:wrap="around" w:vAnchor="text" w:hAnchor="margin" w:xAlign="center" w:y="1"/>
      <w:rPr>
        <w:rStyle w:val="ac"/>
      </w:rPr>
    </w:pPr>
    <w:r>
      <w:rPr>
        <w:rStyle w:val="ac"/>
      </w:rPr>
      <w:fldChar w:fldCharType="begin"/>
    </w:r>
    <w:r w:rsidR="009777B9">
      <w:rPr>
        <w:rStyle w:val="ac"/>
      </w:rPr>
      <w:instrText xml:space="preserve">PAGE  </w:instrText>
    </w:r>
    <w:r>
      <w:rPr>
        <w:rStyle w:val="ac"/>
      </w:rPr>
      <w:fldChar w:fldCharType="end"/>
    </w:r>
  </w:p>
  <w:p w:rsidR="009777B9" w:rsidRDefault="009777B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B9" w:rsidRDefault="00094545" w:rsidP="008E7D00">
    <w:pPr>
      <w:pStyle w:val="ab"/>
      <w:framePr w:wrap="around" w:vAnchor="text" w:hAnchor="page" w:x="6202" w:y="361"/>
      <w:rPr>
        <w:rStyle w:val="ac"/>
      </w:rPr>
    </w:pPr>
    <w:r>
      <w:rPr>
        <w:rStyle w:val="ac"/>
      </w:rPr>
      <w:fldChar w:fldCharType="begin"/>
    </w:r>
    <w:r w:rsidR="009777B9">
      <w:rPr>
        <w:rStyle w:val="ac"/>
      </w:rPr>
      <w:instrText xml:space="preserve">PAGE  </w:instrText>
    </w:r>
    <w:r>
      <w:rPr>
        <w:rStyle w:val="ac"/>
      </w:rPr>
      <w:fldChar w:fldCharType="separate"/>
    </w:r>
    <w:r w:rsidR="00AA40D9">
      <w:rPr>
        <w:rStyle w:val="ac"/>
        <w:noProof/>
      </w:rPr>
      <w:t>4</w:t>
    </w:r>
    <w:r>
      <w:rPr>
        <w:rStyle w:val="ac"/>
      </w:rPr>
      <w:fldChar w:fldCharType="end"/>
    </w:r>
  </w:p>
  <w:p w:rsidR="009777B9" w:rsidRDefault="009777B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6861"/>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4545"/>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63C2"/>
    <w:rsid w:val="006D0FC9"/>
    <w:rsid w:val="006D2209"/>
    <w:rsid w:val="006D3321"/>
    <w:rsid w:val="006D370F"/>
    <w:rsid w:val="006D45EC"/>
    <w:rsid w:val="006D54A2"/>
    <w:rsid w:val="006D70B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40D9"/>
    <w:rsid w:val="00AA5927"/>
    <w:rsid w:val="00AA5EB5"/>
    <w:rsid w:val="00AA5F1A"/>
    <w:rsid w:val="00AB0012"/>
    <w:rsid w:val="00AB0341"/>
    <w:rsid w:val="00AB1317"/>
    <w:rsid w:val="00AB1821"/>
    <w:rsid w:val="00AB287B"/>
    <w:rsid w:val="00AB29CB"/>
    <w:rsid w:val="00AB5022"/>
    <w:rsid w:val="00AB50E1"/>
    <w:rsid w:val="00AB6010"/>
    <w:rsid w:val="00AB6CD2"/>
    <w:rsid w:val="00AC30AA"/>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6FE"/>
    <w:rsid w:val="00FA7F7B"/>
    <w:rsid w:val="00FB12C8"/>
    <w:rsid w:val="00FB3967"/>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68F9055E7773E0391AA6DA4523BF58995F940B7E55318CC2FBE5D75C189EF8DF9F78270BAEY3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3EF1ED58C20D8F45FE940AED21D895F3C24078EDAEDB7D4739BA319A89C2586914834844L4I6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6659;fld=134;dst=1133" TargetMode="External"/><Relationship Id="rId4" Type="http://schemas.openxmlformats.org/officeDocument/2006/relationships/settings" Target="settings.xml"/><Relationship Id="rId9" Type="http://schemas.openxmlformats.org/officeDocument/2006/relationships/hyperlink" Target="consultantplus://offline/main?base=LAW;n=100596;fld=134;dst=6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026E-9778-4C4A-8069-5202469E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14692</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2013-05-28T05:45:00Z</cp:lastPrinted>
  <dcterms:created xsi:type="dcterms:W3CDTF">2013-05-28T05:46:00Z</dcterms:created>
  <dcterms:modified xsi:type="dcterms:W3CDTF">2013-05-28T05:46:00Z</dcterms:modified>
</cp:coreProperties>
</file>