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7A024D" w:rsidRDefault="00687098" w:rsidP="003D2EE4">
      <w:pPr>
        <w:jc w:val="center"/>
        <w:rPr>
          <w:b/>
          <w:sz w:val="22"/>
          <w:szCs w:val="22"/>
        </w:rPr>
      </w:pPr>
      <w:r w:rsidRPr="007A024D">
        <w:rPr>
          <w:b/>
          <w:sz w:val="22"/>
          <w:szCs w:val="22"/>
        </w:rPr>
        <w:t>Решение № 03-10.1/</w:t>
      </w:r>
      <w:r w:rsidR="002515CA">
        <w:rPr>
          <w:b/>
          <w:sz w:val="22"/>
          <w:szCs w:val="22"/>
        </w:rPr>
        <w:t>201</w:t>
      </w:r>
      <w:r w:rsidRPr="007A024D">
        <w:rPr>
          <w:b/>
          <w:sz w:val="22"/>
          <w:szCs w:val="22"/>
        </w:rPr>
        <w:t>-201</w:t>
      </w:r>
      <w:r w:rsidR="00655564" w:rsidRPr="007A024D">
        <w:rPr>
          <w:b/>
          <w:sz w:val="22"/>
          <w:szCs w:val="22"/>
        </w:rPr>
        <w:t>3</w:t>
      </w:r>
    </w:p>
    <w:p w:rsidR="003F3F18" w:rsidRPr="007A024D" w:rsidRDefault="00687098" w:rsidP="003D2EE4">
      <w:pPr>
        <w:jc w:val="center"/>
        <w:rPr>
          <w:snapToGrid w:val="0"/>
          <w:sz w:val="22"/>
          <w:szCs w:val="22"/>
        </w:rPr>
      </w:pPr>
      <w:r w:rsidRPr="007A024D">
        <w:rPr>
          <w:snapToGrid w:val="0"/>
          <w:sz w:val="22"/>
          <w:szCs w:val="22"/>
        </w:rPr>
        <w:t>о признании жалоб</w:t>
      </w:r>
      <w:r w:rsidR="002372F2" w:rsidRPr="007A024D">
        <w:rPr>
          <w:snapToGrid w:val="0"/>
          <w:sz w:val="22"/>
          <w:szCs w:val="22"/>
        </w:rPr>
        <w:t>ы</w:t>
      </w:r>
      <w:r w:rsidRPr="007A024D">
        <w:rPr>
          <w:snapToGrid w:val="0"/>
          <w:sz w:val="22"/>
          <w:szCs w:val="22"/>
        </w:rPr>
        <w:t xml:space="preserve"> </w:t>
      </w:r>
      <w:r w:rsidR="009F22C8" w:rsidRPr="007A024D">
        <w:rPr>
          <w:snapToGrid w:val="0"/>
          <w:sz w:val="22"/>
          <w:szCs w:val="22"/>
        </w:rPr>
        <w:t>обоснованн</w:t>
      </w:r>
      <w:r w:rsidR="00A82F44" w:rsidRPr="007A024D">
        <w:rPr>
          <w:snapToGrid w:val="0"/>
          <w:sz w:val="22"/>
          <w:szCs w:val="22"/>
        </w:rPr>
        <w:t>ой</w:t>
      </w:r>
    </w:p>
    <w:p w:rsidR="00F3257A" w:rsidRPr="007A024D" w:rsidRDefault="00F3257A" w:rsidP="003D2EE4">
      <w:pPr>
        <w:jc w:val="center"/>
        <w:rPr>
          <w:snapToGrid w:val="0"/>
          <w:sz w:val="22"/>
          <w:szCs w:val="22"/>
        </w:rPr>
      </w:pPr>
    </w:p>
    <w:tbl>
      <w:tblPr>
        <w:tblW w:w="0" w:type="auto"/>
        <w:tblLook w:val="01E0"/>
      </w:tblPr>
      <w:tblGrid>
        <w:gridCol w:w="5211"/>
        <w:gridCol w:w="5211"/>
      </w:tblGrid>
      <w:tr w:rsidR="003F3F18" w:rsidRPr="007A024D" w:rsidTr="000F587D">
        <w:tc>
          <w:tcPr>
            <w:tcW w:w="5211" w:type="dxa"/>
          </w:tcPr>
          <w:p w:rsidR="003F3F18" w:rsidRPr="007A024D" w:rsidRDefault="002515CA" w:rsidP="00417416">
            <w:pPr>
              <w:spacing w:after="60"/>
              <w:rPr>
                <w:snapToGrid w:val="0"/>
                <w:sz w:val="22"/>
                <w:szCs w:val="22"/>
              </w:rPr>
            </w:pPr>
            <w:r>
              <w:rPr>
                <w:snapToGrid w:val="0"/>
                <w:sz w:val="22"/>
                <w:szCs w:val="22"/>
              </w:rPr>
              <w:t>11</w:t>
            </w:r>
            <w:r w:rsidR="00712654" w:rsidRPr="007A024D">
              <w:rPr>
                <w:snapToGrid w:val="0"/>
                <w:sz w:val="22"/>
                <w:szCs w:val="22"/>
              </w:rPr>
              <w:t xml:space="preserve"> июля</w:t>
            </w:r>
            <w:r w:rsidR="003F3F18" w:rsidRPr="007A024D">
              <w:rPr>
                <w:snapToGrid w:val="0"/>
                <w:sz w:val="22"/>
                <w:szCs w:val="22"/>
              </w:rPr>
              <w:t xml:space="preserve"> 201</w:t>
            </w:r>
            <w:r w:rsidR="00655564" w:rsidRPr="007A024D">
              <w:rPr>
                <w:snapToGrid w:val="0"/>
                <w:sz w:val="22"/>
                <w:szCs w:val="22"/>
              </w:rPr>
              <w:t>3</w:t>
            </w:r>
            <w:r w:rsidR="003F3F18" w:rsidRPr="007A024D">
              <w:rPr>
                <w:snapToGrid w:val="0"/>
                <w:sz w:val="22"/>
                <w:szCs w:val="22"/>
              </w:rPr>
              <w:t xml:space="preserve"> г.</w:t>
            </w:r>
          </w:p>
        </w:tc>
        <w:tc>
          <w:tcPr>
            <w:tcW w:w="5211" w:type="dxa"/>
          </w:tcPr>
          <w:p w:rsidR="003F3F18" w:rsidRPr="007A024D" w:rsidRDefault="003B543D" w:rsidP="003D2EE4">
            <w:pPr>
              <w:spacing w:after="60"/>
              <w:jc w:val="right"/>
              <w:rPr>
                <w:snapToGrid w:val="0"/>
                <w:sz w:val="22"/>
                <w:szCs w:val="22"/>
              </w:rPr>
            </w:pPr>
            <w:r w:rsidRPr="007A024D">
              <w:rPr>
                <w:snapToGrid w:val="0"/>
                <w:sz w:val="22"/>
                <w:szCs w:val="22"/>
              </w:rPr>
              <w:t>г</w:t>
            </w:r>
            <w:r w:rsidR="003F3F18" w:rsidRPr="007A024D">
              <w:rPr>
                <w:snapToGrid w:val="0"/>
                <w:sz w:val="22"/>
                <w:szCs w:val="22"/>
              </w:rPr>
              <w:t>. Омск</w:t>
            </w:r>
          </w:p>
        </w:tc>
      </w:tr>
    </w:tbl>
    <w:p w:rsidR="00687098" w:rsidRPr="007A024D" w:rsidRDefault="00687098" w:rsidP="003D2EE4">
      <w:pPr>
        <w:ind w:firstLine="709"/>
        <w:jc w:val="center"/>
        <w:rPr>
          <w:snapToGrid w:val="0"/>
          <w:sz w:val="22"/>
          <w:szCs w:val="22"/>
        </w:rPr>
      </w:pPr>
    </w:p>
    <w:p w:rsidR="00687098" w:rsidRPr="007A024D" w:rsidRDefault="00687098" w:rsidP="00982E58">
      <w:pPr>
        <w:pStyle w:val="a8"/>
        <w:tabs>
          <w:tab w:val="left" w:pos="-2800"/>
        </w:tabs>
        <w:ind w:firstLine="709"/>
        <w:jc w:val="both"/>
        <w:rPr>
          <w:sz w:val="22"/>
          <w:szCs w:val="22"/>
        </w:rPr>
      </w:pPr>
      <w:r w:rsidRPr="007A024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A024D" w:rsidRDefault="00712654" w:rsidP="00982E58">
      <w:pPr>
        <w:pStyle w:val="a8"/>
        <w:tabs>
          <w:tab w:val="left" w:pos="-2800"/>
        </w:tabs>
        <w:ind w:firstLine="709"/>
        <w:jc w:val="both"/>
        <w:rPr>
          <w:sz w:val="22"/>
          <w:szCs w:val="22"/>
        </w:rPr>
      </w:pPr>
      <w:r w:rsidRPr="007A024D">
        <w:rPr>
          <w:sz w:val="22"/>
          <w:szCs w:val="22"/>
        </w:rPr>
        <w:t>Иванченко О.И.</w:t>
      </w:r>
      <w:r w:rsidR="00F01489" w:rsidRPr="007A024D">
        <w:rPr>
          <w:sz w:val="22"/>
          <w:szCs w:val="22"/>
        </w:rPr>
        <w:t xml:space="preserve"> -  </w:t>
      </w:r>
      <w:r w:rsidRPr="007A024D">
        <w:rPr>
          <w:sz w:val="22"/>
          <w:szCs w:val="22"/>
        </w:rPr>
        <w:t xml:space="preserve">и.о. </w:t>
      </w:r>
      <w:r w:rsidR="00F01489" w:rsidRPr="007A024D">
        <w:rPr>
          <w:sz w:val="22"/>
          <w:szCs w:val="22"/>
        </w:rPr>
        <w:t xml:space="preserve">заместителя руководителя Управления, </w:t>
      </w:r>
      <w:r w:rsidRPr="007A024D">
        <w:rPr>
          <w:sz w:val="22"/>
          <w:szCs w:val="22"/>
        </w:rPr>
        <w:t xml:space="preserve">заместителя </w:t>
      </w:r>
      <w:r w:rsidR="00F01489" w:rsidRPr="007A024D">
        <w:rPr>
          <w:sz w:val="22"/>
          <w:szCs w:val="22"/>
        </w:rPr>
        <w:t>Председателя Комиссии;</w:t>
      </w:r>
    </w:p>
    <w:p w:rsidR="00655564" w:rsidRPr="007A024D" w:rsidRDefault="00F01489" w:rsidP="00655564">
      <w:pPr>
        <w:pStyle w:val="a8"/>
        <w:tabs>
          <w:tab w:val="left" w:pos="-2800"/>
        </w:tabs>
        <w:ind w:firstLine="709"/>
        <w:jc w:val="both"/>
        <w:rPr>
          <w:sz w:val="22"/>
          <w:szCs w:val="22"/>
        </w:rPr>
      </w:pPr>
      <w:r w:rsidRPr="007A024D">
        <w:rPr>
          <w:sz w:val="22"/>
          <w:szCs w:val="22"/>
        </w:rPr>
        <w:t>Шевченко А.Н. – ведущего специалиста-эксперта отдела контроля размещения государственного заказа, члена Комиссии;</w:t>
      </w:r>
      <w:r w:rsidR="00655564" w:rsidRPr="007A024D">
        <w:rPr>
          <w:sz w:val="22"/>
          <w:szCs w:val="22"/>
        </w:rPr>
        <w:t xml:space="preserve"> </w:t>
      </w:r>
    </w:p>
    <w:p w:rsidR="00655564" w:rsidRPr="007A024D" w:rsidRDefault="00655564" w:rsidP="00655564">
      <w:pPr>
        <w:pStyle w:val="a8"/>
        <w:tabs>
          <w:tab w:val="left" w:pos="-2800"/>
        </w:tabs>
        <w:ind w:firstLine="709"/>
        <w:jc w:val="both"/>
        <w:rPr>
          <w:sz w:val="22"/>
          <w:szCs w:val="22"/>
        </w:rPr>
      </w:pPr>
      <w:r w:rsidRPr="007A024D">
        <w:rPr>
          <w:sz w:val="22"/>
          <w:szCs w:val="22"/>
        </w:rPr>
        <w:t>Вормсбехера А.В. – главного специалиста-эксперта отдела контроля размещения государственного заказа, члена Комиссии;</w:t>
      </w:r>
    </w:p>
    <w:p w:rsidR="004F5C0D" w:rsidRPr="007A024D" w:rsidRDefault="00712654" w:rsidP="004F5C0D">
      <w:pPr>
        <w:pStyle w:val="a8"/>
        <w:tabs>
          <w:tab w:val="left" w:pos="-2800"/>
        </w:tabs>
        <w:ind w:firstLine="709"/>
        <w:jc w:val="both"/>
        <w:rPr>
          <w:sz w:val="22"/>
          <w:szCs w:val="22"/>
        </w:rPr>
      </w:pPr>
      <w:r w:rsidRPr="007A024D">
        <w:rPr>
          <w:sz w:val="22"/>
          <w:szCs w:val="22"/>
        </w:rPr>
        <w:t>Алексиной А.П.</w:t>
      </w:r>
      <w:r w:rsidR="004F5C0D" w:rsidRPr="007A024D">
        <w:rPr>
          <w:sz w:val="22"/>
          <w:szCs w:val="22"/>
        </w:rPr>
        <w:t xml:space="preserve"> – </w:t>
      </w:r>
      <w:r w:rsidRPr="007A024D">
        <w:rPr>
          <w:sz w:val="22"/>
          <w:szCs w:val="22"/>
        </w:rPr>
        <w:t>главного специалиста-эксперта</w:t>
      </w:r>
      <w:r w:rsidR="004F5C0D" w:rsidRPr="007A024D">
        <w:rPr>
          <w:sz w:val="22"/>
          <w:szCs w:val="22"/>
        </w:rPr>
        <w:t xml:space="preserve"> отдела контроля размещения государс</w:t>
      </w:r>
      <w:r w:rsidR="00417416" w:rsidRPr="007A024D">
        <w:rPr>
          <w:sz w:val="22"/>
          <w:szCs w:val="22"/>
        </w:rPr>
        <w:t>твенного заказа, члена Комиссии,</w:t>
      </w:r>
    </w:p>
    <w:p w:rsidR="00A60A32" w:rsidRPr="002515CA" w:rsidRDefault="00687098" w:rsidP="00417416">
      <w:pPr>
        <w:widowControl w:val="0"/>
        <w:autoSpaceDE w:val="0"/>
        <w:autoSpaceDN w:val="0"/>
        <w:adjustRightInd w:val="0"/>
        <w:ind w:firstLine="708"/>
        <w:jc w:val="both"/>
        <w:rPr>
          <w:sz w:val="22"/>
          <w:szCs w:val="22"/>
        </w:rPr>
      </w:pPr>
      <w:r w:rsidRPr="002515CA">
        <w:rPr>
          <w:sz w:val="22"/>
          <w:szCs w:val="22"/>
        </w:rPr>
        <w:t>рассмотрев жалоб</w:t>
      </w:r>
      <w:r w:rsidR="00A82F44" w:rsidRPr="002515CA">
        <w:rPr>
          <w:sz w:val="22"/>
          <w:szCs w:val="22"/>
        </w:rPr>
        <w:t>у</w:t>
      </w:r>
      <w:r w:rsidR="00AE78FE" w:rsidRPr="002515CA">
        <w:rPr>
          <w:sz w:val="22"/>
          <w:szCs w:val="22"/>
        </w:rPr>
        <w:t xml:space="preserve"> </w:t>
      </w:r>
      <w:r w:rsidR="002515CA" w:rsidRPr="002515CA">
        <w:rPr>
          <w:sz w:val="22"/>
          <w:szCs w:val="22"/>
        </w:rPr>
        <w:t xml:space="preserve">ООО «Инновационные технологии климатических систем» (далее – Заявитель, Общество) на действия бюджетного учреждения здравоохранения Омской области «Клинический медико-хирургический центр Министерства здравоохранения Омской области» (далее – Заказчик) при проведении открытого аукциона в электронной форме </w:t>
      </w:r>
      <w:r w:rsidR="002515CA" w:rsidRPr="002515CA">
        <w:rPr>
          <w:rStyle w:val="iceouttxt1"/>
          <w:rFonts w:ascii="Times New Roman" w:hAnsi="Times New Roman" w:cs="Times New Roman"/>
          <w:color w:val="auto"/>
          <w:sz w:val="22"/>
          <w:szCs w:val="22"/>
        </w:rPr>
        <w:t>н</w:t>
      </w:r>
      <w:r w:rsidR="002515CA" w:rsidRPr="002515CA">
        <w:rPr>
          <w:sz w:val="22"/>
          <w:szCs w:val="22"/>
        </w:rPr>
        <w:t xml:space="preserve">а право заключения договора на выполнение работ по капитальному ремонту приточно-вытяжной вентиляции операционного блока хирургического отделения </w:t>
      </w:r>
      <w:r w:rsidR="00F87F8C">
        <w:rPr>
          <w:sz w:val="22"/>
          <w:szCs w:val="22"/>
        </w:rPr>
        <w:t xml:space="preserve">  </w:t>
      </w:r>
      <w:r w:rsidR="002515CA" w:rsidRPr="002515CA">
        <w:rPr>
          <w:sz w:val="22"/>
          <w:szCs w:val="22"/>
        </w:rPr>
        <w:t>№ 3 БУЗОО «КМХЦ МЗОО»</w:t>
      </w:r>
      <w:r w:rsidR="002515CA" w:rsidRPr="002515CA">
        <w:rPr>
          <w:rStyle w:val="iceouttxt1"/>
          <w:rFonts w:ascii="Times New Roman" w:hAnsi="Times New Roman" w:cs="Times New Roman"/>
          <w:color w:val="auto"/>
          <w:sz w:val="22"/>
          <w:szCs w:val="22"/>
        </w:rPr>
        <w:t xml:space="preserve"> (извещение № 0352200029813000347) </w:t>
      </w:r>
      <w:r w:rsidR="00D00CC5" w:rsidRPr="002515CA">
        <w:rPr>
          <w:rStyle w:val="iceouttxt1"/>
          <w:rFonts w:ascii="Times New Roman" w:hAnsi="Times New Roman" w:cs="Times New Roman"/>
          <w:color w:val="auto"/>
          <w:sz w:val="22"/>
          <w:szCs w:val="22"/>
        </w:rPr>
        <w:t xml:space="preserve">(далее – открытый </w:t>
      </w:r>
      <w:r w:rsidR="004F5C0D" w:rsidRPr="002515CA">
        <w:rPr>
          <w:rStyle w:val="iceouttxt1"/>
          <w:rFonts w:ascii="Times New Roman" w:hAnsi="Times New Roman" w:cs="Times New Roman"/>
          <w:color w:val="auto"/>
          <w:sz w:val="22"/>
          <w:szCs w:val="22"/>
        </w:rPr>
        <w:t>аукцион</w:t>
      </w:r>
      <w:r w:rsidR="00D00CC5" w:rsidRPr="002515CA">
        <w:rPr>
          <w:rStyle w:val="iceouttxt1"/>
          <w:rFonts w:ascii="Times New Roman" w:hAnsi="Times New Roman" w:cs="Times New Roman"/>
          <w:color w:val="auto"/>
          <w:sz w:val="22"/>
          <w:szCs w:val="22"/>
        </w:rPr>
        <w:t>)</w:t>
      </w:r>
      <w:r w:rsidR="00A60A32" w:rsidRPr="002515CA">
        <w:rPr>
          <w:sz w:val="22"/>
          <w:szCs w:val="22"/>
        </w:rPr>
        <w:t>,</w:t>
      </w:r>
    </w:p>
    <w:p w:rsidR="00712654" w:rsidRPr="00D80B43" w:rsidRDefault="00A60A32" w:rsidP="00D80B43">
      <w:pPr>
        <w:tabs>
          <w:tab w:val="left" w:pos="654"/>
        </w:tabs>
        <w:ind w:firstLine="709"/>
        <w:jc w:val="both"/>
        <w:rPr>
          <w:sz w:val="22"/>
          <w:szCs w:val="22"/>
        </w:rPr>
      </w:pPr>
      <w:r w:rsidRPr="007A024D">
        <w:rPr>
          <w:snapToGrid w:val="0"/>
          <w:sz w:val="22"/>
          <w:szCs w:val="22"/>
        </w:rPr>
        <w:t xml:space="preserve">в присутствии </w:t>
      </w:r>
      <w:r w:rsidR="00D80B43">
        <w:rPr>
          <w:snapToGrid w:val="0"/>
          <w:sz w:val="22"/>
          <w:szCs w:val="22"/>
          <w:lang w:val="en-US"/>
        </w:rPr>
        <w:t>&lt;…&gt;</w:t>
      </w:r>
      <w:r w:rsidR="00D80B43">
        <w:rPr>
          <w:snapToGrid w:val="0"/>
          <w:sz w:val="22"/>
          <w:szCs w:val="22"/>
        </w:rPr>
        <w:t>,</w:t>
      </w:r>
    </w:p>
    <w:p w:rsidR="000A21C2" w:rsidRPr="007A024D" w:rsidRDefault="000A21C2" w:rsidP="00CC66D4">
      <w:pPr>
        <w:ind w:firstLine="709"/>
        <w:jc w:val="both"/>
        <w:rPr>
          <w:spacing w:val="60"/>
          <w:sz w:val="22"/>
          <w:szCs w:val="22"/>
        </w:rPr>
      </w:pPr>
    </w:p>
    <w:p w:rsidR="00687098" w:rsidRPr="007A024D" w:rsidRDefault="00E07BB4" w:rsidP="00982E58">
      <w:pPr>
        <w:jc w:val="center"/>
        <w:rPr>
          <w:spacing w:val="60"/>
          <w:sz w:val="22"/>
          <w:szCs w:val="22"/>
        </w:rPr>
      </w:pPr>
      <w:r w:rsidRPr="007A024D">
        <w:rPr>
          <w:spacing w:val="60"/>
          <w:sz w:val="22"/>
          <w:szCs w:val="22"/>
        </w:rPr>
        <w:t>УСТАНОВИЛА</w:t>
      </w:r>
      <w:r w:rsidR="00687098" w:rsidRPr="007A024D">
        <w:rPr>
          <w:spacing w:val="60"/>
          <w:sz w:val="22"/>
          <w:szCs w:val="22"/>
        </w:rPr>
        <w:t>:</w:t>
      </w:r>
    </w:p>
    <w:p w:rsidR="00687098" w:rsidRPr="007A024D" w:rsidRDefault="00687098" w:rsidP="00982E58">
      <w:pPr>
        <w:ind w:firstLine="709"/>
        <w:jc w:val="center"/>
        <w:rPr>
          <w:snapToGrid w:val="0"/>
          <w:sz w:val="22"/>
          <w:szCs w:val="22"/>
        </w:rPr>
      </w:pPr>
    </w:p>
    <w:p w:rsidR="002515CA" w:rsidRDefault="00687098" w:rsidP="00417416">
      <w:pPr>
        <w:autoSpaceDE w:val="0"/>
        <w:autoSpaceDN w:val="0"/>
        <w:adjustRightInd w:val="0"/>
        <w:ind w:right="-41" w:firstLine="708"/>
        <w:jc w:val="both"/>
        <w:rPr>
          <w:sz w:val="26"/>
          <w:szCs w:val="26"/>
        </w:rPr>
      </w:pPr>
      <w:r w:rsidRPr="007A024D">
        <w:rPr>
          <w:b/>
          <w:sz w:val="22"/>
          <w:szCs w:val="22"/>
        </w:rPr>
        <w:t>1.</w:t>
      </w:r>
      <w:r w:rsidRPr="007A024D">
        <w:rPr>
          <w:sz w:val="22"/>
          <w:szCs w:val="22"/>
        </w:rPr>
        <w:t xml:space="preserve"> </w:t>
      </w:r>
      <w:r w:rsidR="00BD7AB4" w:rsidRPr="007A024D">
        <w:rPr>
          <w:sz w:val="22"/>
          <w:szCs w:val="22"/>
        </w:rPr>
        <w:t xml:space="preserve">В  Омское  </w:t>
      </w:r>
      <w:r w:rsidR="008C2BD5" w:rsidRPr="007A024D">
        <w:rPr>
          <w:sz w:val="22"/>
          <w:szCs w:val="22"/>
        </w:rPr>
        <w:t xml:space="preserve">УФАС  России  поступила жалоба </w:t>
      </w:r>
      <w:r w:rsidR="00EE35ED" w:rsidRPr="007A024D">
        <w:rPr>
          <w:sz w:val="22"/>
          <w:szCs w:val="22"/>
        </w:rPr>
        <w:t>З</w:t>
      </w:r>
      <w:r w:rsidR="00BD7AB4" w:rsidRPr="007A024D">
        <w:rPr>
          <w:sz w:val="22"/>
          <w:szCs w:val="22"/>
        </w:rPr>
        <w:t xml:space="preserve">аявителя (вх. № </w:t>
      </w:r>
      <w:r w:rsidR="006E157C" w:rsidRPr="007A024D">
        <w:rPr>
          <w:sz w:val="22"/>
          <w:szCs w:val="22"/>
        </w:rPr>
        <w:t>6</w:t>
      </w:r>
      <w:r w:rsidR="002515CA">
        <w:rPr>
          <w:sz w:val="22"/>
          <w:szCs w:val="22"/>
        </w:rPr>
        <w:t>469</w:t>
      </w:r>
      <w:r w:rsidR="00BD7AB4" w:rsidRPr="007A024D">
        <w:rPr>
          <w:sz w:val="22"/>
          <w:szCs w:val="22"/>
        </w:rPr>
        <w:t xml:space="preserve"> от </w:t>
      </w:r>
      <w:r w:rsidR="002515CA">
        <w:rPr>
          <w:sz w:val="22"/>
          <w:szCs w:val="22"/>
        </w:rPr>
        <w:t>04</w:t>
      </w:r>
      <w:r w:rsidR="00BD7AB4" w:rsidRPr="007A024D">
        <w:rPr>
          <w:sz w:val="22"/>
          <w:szCs w:val="22"/>
        </w:rPr>
        <w:t>.</w:t>
      </w:r>
      <w:r w:rsidR="008678AC" w:rsidRPr="007A024D">
        <w:rPr>
          <w:sz w:val="22"/>
          <w:szCs w:val="22"/>
        </w:rPr>
        <w:t>0</w:t>
      </w:r>
      <w:r w:rsidR="002515CA">
        <w:rPr>
          <w:sz w:val="22"/>
          <w:szCs w:val="22"/>
        </w:rPr>
        <w:t>7</w:t>
      </w:r>
      <w:r w:rsidR="00BD7AB4" w:rsidRPr="007A024D">
        <w:rPr>
          <w:sz w:val="22"/>
          <w:szCs w:val="22"/>
        </w:rPr>
        <w:t>.201</w:t>
      </w:r>
      <w:r w:rsidR="008678AC" w:rsidRPr="007A024D">
        <w:rPr>
          <w:sz w:val="22"/>
          <w:szCs w:val="22"/>
        </w:rPr>
        <w:t>3</w:t>
      </w:r>
      <w:r w:rsidR="00BD7AB4" w:rsidRPr="007A024D">
        <w:rPr>
          <w:sz w:val="22"/>
          <w:szCs w:val="22"/>
        </w:rPr>
        <w:t>)</w:t>
      </w:r>
      <w:r w:rsidR="00C14F72" w:rsidRPr="007A024D">
        <w:rPr>
          <w:sz w:val="22"/>
          <w:szCs w:val="22"/>
        </w:rPr>
        <w:t xml:space="preserve">, в которой указано, </w:t>
      </w:r>
      <w:r w:rsidR="00F1788C" w:rsidRPr="007A024D">
        <w:rPr>
          <w:sz w:val="22"/>
          <w:szCs w:val="22"/>
        </w:rPr>
        <w:t xml:space="preserve">что </w:t>
      </w:r>
      <w:r w:rsidR="00417416" w:rsidRPr="007A024D">
        <w:rPr>
          <w:sz w:val="22"/>
          <w:szCs w:val="22"/>
        </w:rPr>
        <w:t>Заказчик</w:t>
      </w:r>
      <w:r w:rsidR="006E3E23" w:rsidRPr="007A024D">
        <w:rPr>
          <w:sz w:val="22"/>
          <w:szCs w:val="22"/>
        </w:rPr>
        <w:t xml:space="preserve"> </w:t>
      </w:r>
      <w:r w:rsidR="00F1788C" w:rsidRPr="007A024D">
        <w:rPr>
          <w:sz w:val="22"/>
          <w:szCs w:val="22"/>
        </w:rPr>
        <w:t>наруш</w:t>
      </w:r>
      <w:r w:rsidR="002515CA">
        <w:rPr>
          <w:sz w:val="22"/>
          <w:szCs w:val="22"/>
        </w:rPr>
        <w:t>ил</w:t>
      </w:r>
      <w:r w:rsidR="00F1788C" w:rsidRPr="007A024D">
        <w:rPr>
          <w:sz w:val="22"/>
          <w:szCs w:val="22"/>
        </w:rPr>
        <w:t xml:space="preserve"> требовани</w:t>
      </w:r>
      <w:r w:rsidR="002515CA">
        <w:rPr>
          <w:sz w:val="22"/>
          <w:szCs w:val="22"/>
        </w:rPr>
        <w:t>я</w:t>
      </w:r>
      <w:r w:rsidR="00F1788C" w:rsidRPr="007A024D">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7A024D">
        <w:rPr>
          <w:sz w:val="22"/>
          <w:szCs w:val="22"/>
        </w:rPr>
        <w:t>,</w:t>
      </w:r>
      <w:r w:rsidR="005B31DC" w:rsidRPr="007A024D">
        <w:rPr>
          <w:sz w:val="22"/>
          <w:szCs w:val="22"/>
        </w:rPr>
        <w:t xml:space="preserve"> </w:t>
      </w:r>
      <w:r w:rsidR="002515CA">
        <w:rPr>
          <w:sz w:val="24"/>
        </w:rPr>
        <w:t xml:space="preserve">не установив </w:t>
      </w:r>
      <w:r w:rsidR="002515CA" w:rsidRPr="00A277E2">
        <w:rPr>
          <w:sz w:val="24"/>
        </w:rPr>
        <w:t>в документаци</w:t>
      </w:r>
      <w:r w:rsidR="002515CA">
        <w:rPr>
          <w:sz w:val="24"/>
        </w:rPr>
        <w:t>и</w:t>
      </w:r>
      <w:r w:rsidR="002515CA" w:rsidRPr="00A277E2">
        <w:rPr>
          <w:sz w:val="24"/>
        </w:rPr>
        <w:t xml:space="preserve"> об аукционе </w:t>
      </w:r>
      <w:r w:rsidR="002515CA">
        <w:rPr>
          <w:sz w:val="24"/>
        </w:rPr>
        <w:t>определенные законом требования к используемому товару</w:t>
      </w:r>
      <w:r w:rsidR="002515CA" w:rsidRPr="00C36A98">
        <w:rPr>
          <w:sz w:val="26"/>
          <w:szCs w:val="26"/>
        </w:rPr>
        <w:t>.</w:t>
      </w:r>
    </w:p>
    <w:p w:rsidR="00EE4ABA" w:rsidRPr="007A024D" w:rsidRDefault="00EE4ABA" w:rsidP="00982E58">
      <w:pPr>
        <w:tabs>
          <w:tab w:val="left" w:pos="-1820"/>
          <w:tab w:val="left" w:pos="700"/>
        </w:tabs>
        <w:ind w:firstLine="709"/>
        <w:jc w:val="both"/>
        <w:rPr>
          <w:b/>
          <w:sz w:val="22"/>
          <w:szCs w:val="22"/>
        </w:rPr>
      </w:pPr>
    </w:p>
    <w:p w:rsidR="001B4359" w:rsidRPr="007A024D" w:rsidRDefault="00134DAA" w:rsidP="00982E58">
      <w:pPr>
        <w:tabs>
          <w:tab w:val="left" w:pos="-1820"/>
          <w:tab w:val="left" w:pos="700"/>
        </w:tabs>
        <w:ind w:firstLine="709"/>
        <w:jc w:val="both"/>
        <w:rPr>
          <w:sz w:val="22"/>
          <w:szCs w:val="22"/>
        </w:rPr>
      </w:pPr>
      <w:r w:rsidRPr="007A024D">
        <w:rPr>
          <w:b/>
          <w:sz w:val="22"/>
          <w:szCs w:val="22"/>
        </w:rPr>
        <w:t xml:space="preserve">2. </w:t>
      </w:r>
      <w:r w:rsidR="001B4359" w:rsidRPr="007A024D">
        <w:rPr>
          <w:sz w:val="22"/>
          <w:szCs w:val="22"/>
        </w:rPr>
        <w:t>На запрос О</w:t>
      </w:r>
      <w:r w:rsidR="008C2BD5" w:rsidRPr="007A024D">
        <w:rPr>
          <w:sz w:val="22"/>
          <w:szCs w:val="22"/>
        </w:rPr>
        <w:t>мского УФАС России (исх. № 03-</w:t>
      </w:r>
      <w:r w:rsidR="002515CA">
        <w:rPr>
          <w:sz w:val="22"/>
          <w:szCs w:val="22"/>
        </w:rPr>
        <w:t>4457</w:t>
      </w:r>
      <w:r w:rsidR="008C2BD5" w:rsidRPr="007A024D">
        <w:rPr>
          <w:sz w:val="22"/>
          <w:szCs w:val="22"/>
        </w:rPr>
        <w:t xml:space="preserve"> от </w:t>
      </w:r>
      <w:r w:rsidR="002515CA">
        <w:rPr>
          <w:sz w:val="22"/>
          <w:szCs w:val="22"/>
        </w:rPr>
        <w:t>05</w:t>
      </w:r>
      <w:r w:rsidR="008C2BD5" w:rsidRPr="007A024D">
        <w:rPr>
          <w:sz w:val="22"/>
          <w:szCs w:val="22"/>
        </w:rPr>
        <w:t>.</w:t>
      </w:r>
      <w:r w:rsidR="00BB3BF6" w:rsidRPr="007A024D">
        <w:rPr>
          <w:sz w:val="22"/>
          <w:szCs w:val="22"/>
        </w:rPr>
        <w:t>0</w:t>
      </w:r>
      <w:r w:rsidR="002515CA">
        <w:rPr>
          <w:sz w:val="22"/>
          <w:szCs w:val="22"/>
        </w:rPr>
        <w:t>7</w:t>
      </w:r>
      <w:r w:rsidR="001B4359" w:rsidRPr="007A024D">
        <w:rPr>
          <w:sz w:val="22"/>
          <w:szCs w:val="22"/>
        </w:rPr>
        <w:t>.201</w:t>
      </w:r>
      <w:r w:rsidR="00BB3BF6" w:rsidRPr="007A024D">
        <w:rPr>
          <w:sz w:val="22"/>
          <w:szCs w:val="22"/>
        </w:rPr>
        <w:t>3</w:t>
      </w:r>
      <w:r w:rsidR="001B4359" w:rsidRPr="007A024D">
        <w:rPr>
          <w:sz w:val="22"/>
          <w:szCs w:val="22"/>
        </w:rPr>
        <w:t xml:space="preserve">) </w:t>
      </w:r>
      <w:r w:rsidR="00C1746C" w:rsidRPr="007A024D">
        <w:rPr>
          <w:sz w:val="22"/>
          <w:szCs w:val="22"/>
        </w:rPr>
        <w:t>Заказчиком</w:t>
      </w:r>
      <w:r w:rsidR="001B4359" w:rsidRPr="007A024D">
        <w:rPr>
          <w:sz w:val="22"/>
          <w:szCs w:val="22"/>
        </w:rPr>
        <w:t xml:space="preserve"> были представлены мате</w:t>
      </w:r>
      <w:r w:rsidR="008E608D" w:rsidRPr="007A024D">
        <w:rPr>
          <w:sz w:val="22"/>
          <w:szCs w:val="22"/>
        </w:rPr>
        <w:t xml:space="preserve">риалы открытого </w:t>
      </w:r>
      <w:r w:rsidR="004F5C0D" w:rsidRPr="007A024D">
        <w:rPr>
          <w:sz w:val="22"/>
          <w:szCs w:val="22"/>
        </w:rPr>
        <w:t>аукцион</w:t>
      </w:r>
      <w:r w:rsidR="00C84231" w:rsidRPr="007A024D">
        <w:rPr>
          <w:sz w:val="22"/>
          <w:szCs w:val="22"/>
        </w:rPr>
        <w:t>а</w:t>
      </w:r>
      <w:r w:rsidR="006E3E23" w:rsidRPr="007A024D">
        <w:rPr>
          <w:sz w:val="22"/>
          <w:szCs w:val="22"/>
        </w:rPr>
        <w:t xml:space="preserve"> (вх. № </w:t>
      </w:r>
      <w:r w:rsidR="002515CA">
        <w:rPr>
          <w:sz w:val="22"/>
          <w:szCs w:val="22"/>
        </w:rPr>
        <w:t>6768</w:t>
      </w:r>
      <w:r w:rsidR="000A21C2" w:rsidRPr="007A024D">
        <w:rPr>
          <w:sz w:val="22"/>
          <w:szCs w:val="22"/>
        </w:rPr>
        <w:t xml:space="preserve"> от </w:t>
      </w:r>
      <w:r w:rsidR="002515CA">
        <w:rPr>
          <w:sz w:val="22"/>
          <w:szCs w:val="22"/>
        </w:rPr>
        <w:t>10</w:t>
      </w:r>
      <w:r w:rsidR="000A21C2" w:rsidRPr="007A024D">
        <w:rPr>
          <w:sz w:val="22"/>
          <w:szCs w:val="22"/>
        </w:rPr>
        <w:t>.</w:t>
      </w:r>
      <w:r w:rsidR="00BB3BF6" w:rsidRPr="007A024D">
        <w:rPr>
          <w:sz w:val="22"/>
          <w:szCs w:val="22"/>
        </w:rPr>
        <w:t>0</w:t>
      </w:r>
      <w:r w:rsidR="0027643B" w:rsidRPr="007A024D">
        <w:rPr>
          <w:sz w:val="22"/>
          <w:szCs w:val="22"/>
        </w:rPr>
        <w:t>7</w:t>
      </w:r>
      <w:r w:rsidR="000A21C2" w:rsidRPr="007A024D">
        <w:rPr>
          <w:sz w:val="22"/>
          <w:szCs w:val="22"/>
        </w:rPr>
        <w:t>.201</w:t>
      </w:r>
      <w:r w:rsidR="00BB3BF6" w:rsidRPr="007A024D">
        <w:rPr>
          <w:sz w:val="22"/>
          <w:szCs w:val="22"/>
        </w:rPr>
        <w:t>3</w:t>
      </w:r>
      <w:r w:rsidR="000A21C2" w:rsidRPr="007A024D">
        <w:rPr>
          <w:sz w:val="22"/>
          <w:szCs w:val="22"/>
        </w:rPr>
        <w:t>)</w:t>
      </w:r>
      <w:r w:rsidR="00D00CC5" w:rsidRPr="007A024D">
        <w:rPr>
          <w:sz w:val="22"/>
          <w:szCs w:val="22"/>
        </w:rPr>
        <w:t>.</w:t>
      </w:r>
    </w:p>
    <w:p w:rsidR="001B4359" w:rsidRPr="007A024D" w:rsidRDefault="001B4359" w:rsidP="008D358A">
      <w:pPr>
        <w:autoSpaceDE w:val="0"/>
        <w:autoSpaceDN w:val="0"/>
        <w:adjustRightInd w:val="0"/>
        <w:ind w:firstLine="709"/>
        <w:jc w:val="both"/>
        <w:outlineLvl w:val="1"/>
        <w:rPr>
          <w:sz w:val="22"/>
          <w:szCs w:val="22"/>
        </w:rPr>
      </w:pPr>
      <w:r w:rsidRPr="007A024D">
        <w:rPr>
          <w:sz w:val="22"/>
          <w:szCs w:val="22"/>
        </w:rPr>
        <w:t xml:space="preserve">Из представленных материалов открытого </w:t>
      </w:r>
      <w:r w:rsidR="004F5C0D" w:rsidRPr="007A024D">
        <w:rPr>
          <w:sz w:val="22"/>
          <w:szCs w:val="22"/>
        </w:rPr>
        <w:t>аукцион</w:t>
      </w:r>
      <w:r w:rsidRPr="007A024D">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7A024D">
        <w:rPr>
          <w:sz w:val="22"/>
          <w:szCs w:val="22"/>
          <w:lang w:val="en-US"/>
        </w:rPr>
        <w:t>www</w:t>
      </w:r>
      <w:r w:rsidRPr="007A024D">
        <w:rPr>
          <w:sz w:val="22"/>
          <w:szCs w:val="22"/>
        </w:rPr>
        <w:t>.</w:t>
      </w:r>
      <w:r w:rsidRPr="007A024D">
        <w:rPr>
          <w:sz w:val="22"/>
          <w:szCs w:val="22"/>
          <w:lang w:val="en-US"/>
        </w:rPr>
        <w:t>zakupki</w:t>
      </w:r>
      <w:r w:rsidRPr="007A024D">
        <w:rPr>
          <w:sz w:val="22"/>
          <w:szCs w:val="22"/>
        </w:rPr>
        <w:t>.</w:t>
      </w:r>
      <w:r w:rsidRPr="007A024D">
        <w:rPr>
          <w:sz w:val="22"/>
          <w:szCs w:val="22"/>
          <w:lang w:val="en-US"/>
        </w:rPr>
        <w:t>gov</w:t>
      </w:r>
      <w:r w:rsidRPr="007A024D">
        <w:rPr>
          <w:sz w:val="22"/>
          <w:szCs w:val="22"/>
        </w:rPr>
        <w:t>.</w:t>
      </w:r>
      <w:r w:rsidRPr="007A024D">
        <w:rPr>
          <w:sz w:val="22"/>
          <w:szCs w:val="22"/>
          <w:lang w:val="en-US"/>
        </w:rPr>
        <w:t>ru</w:t>
      </w:r>
      <w:r w:rsidRPr="007A024D">
        <w:rPr>
          <w:sz w:val="22"/>
          <w:szCs w:val="22"/>
        </w:rPr>
        <w:t xml:space="preserve"> (далее - официальный сайт)</w:t>
      </w:r>
      <w:r w:rsidR="004E170E" w:rsidRPr="007A024D">
        <w:rPr>
          <w:sz w:val="22"/>
          <w:szCs w:val="22"/>
        </w:rPr>
        <w:t>,</w:t>
      </w:r>
      <w:r w:rsidRPr="007A024D">
        <w:rPr>
          <w:sz w:val="22"/>
          <w:szCs w:val="22"/>
        </w:rPr>
        <w:t xml:space="preserve"> следует, что </w:t>
      </w:r>
      <w:r w:rsidR="0027643B" w:rsidRPr="007A024D">
        <w:rPr>
          <w:sz w:val="22"/>
          <w:szCs w:val="22"/>
        </w:rPr>
        <w:t>2</w:t>
      </w:r>
      <w:r w:rsidR="002515CA">
        <w:rPr>
          <w:sz w:val="22"/>
          <w:szCs w:val="22"/>
        </w:rPr>
        <w:t>6</w:t>
      </w:r>
      <w:r w:rsidR="00004E80" w:rsidRPr="007A024D">
        <w:rPr>
          <w:sz w:val="22"/>
          <w:szCs w:val="22"/>
        </w:rPr>
        <w:t>.</w:t>
      </w:r>
      <w:r w:rsidR="00DB1469" w:rsidRPr="007A024D">
        <w:rPr>
          <w:sz w:val="22"/>
          <w:szCs w:val="22"/>
        </w:rPr>
        <w:t>0</w:t>
      </w:r>
      <w:r w:rsidR="0027643B" w:rsidRPr="007A024D">
        <w:rPr>
          <w:sz w:val="22"/>
          <w:szCs w:val="22"/>
        </w:rPr>
        <w:t>6</w:t>
      </w:r>
      <w:r w:rsidR="00004E80" w:rsidRPr="007A024D">
        <w:rPr>
          <w:sz w:val="22"/>
          <w:szCs w:val="22"/>
        </w:rPr>
        <w:t>.</w:t>
      </w:r>
      <w:r w:rsidR="008C2BD5" w:rsidRPr="007A024D">
        <w:rPr>
          <w:sz w:val="22"/>
          <w:szCs w:val="22"/>
        </w:rPr>
        <w:t>201</w:t>
      </w:r>
      <w:r w:rsidR="00DB1469" w:rsidRPr="007A024D">
        <w:rPr>
          <w:sz w:val="22"/>
          <w:szCs w:val="22"/>
        </w:rPr>
        <w:t>3</w:t>
      </w:r>
      <w:r w:rsidR="008C2BD5" w:rsidRPr="007A024D">
        <w:rPr>
          <w:sz w:val="22"/>
          <w:szCs w:val="22"/>
        </w:rPr>
        <w:t xml:space="preserve"> на указанном сайте </w:t>
      </w:r>
      <w:r w:rsidR="00C1746C" w:rsidRPr="007A024D">
        <w:rPr>
          <w:sz w:val="22"/>
          <w:szCs w:val="22"/>
        </w:rPr>
        <w:t>Заказчик</w:t>
      </w:r>
      <w:r w:rsidRPr="007A024D">
        <w:rPr>
          <w:sz w:val="22"/>
          <w:szCs w:val="22"/>
        </w:rPr>
        <w:t xml:space="preserve"> разместил извещение о проведении открытого </w:t>
      </w:r>
      <w:r w:rsidR="004F5C0D" w:rsidRPr="007A024D">
        <w:rPr>
          <w:sz w:val="22"/>
          <w:szCs w:val="22"/>
        </w:rPr>
        <w:t>аукцион</w:t>
      </w:r>
      <w:r w:rsidRPr="007A024D">
        <w:rPr>
          <w:sz w:val="22"/>
          <w:szCs w:val="22"/>
        </w:rPr>
        <w:t>а и документацию</w:t>
      </w:r>
      <w:r w:rsidR="00DB1469" w:rsidRPr="007A024D">
        <w:rPr>
          <w:sz w:val="22"/>
          <w:szCs w:val="22"/>
        </w:rPr>
        <w:t xml:space="preserve"> об аукционе</w:t>
      </w:r>
      <w:r w:rsidR="00A0493B" w:rsidRPr="007A024D">
        <w:rPr>
          <w:sz w:val="22"/>
          <w:szCs w:val="22"/>
        </w:rPr>
        <w:t>,</w:t>
      </w:r>
      <w:r w:rsidR="004E170E" w:rsidRPr="007A024D">
        <w:rPr>
          <w:sz w:val="22"/>
          <w:szCs w:val="22"/>
        </w:rPr>
        <w:t xml:space="preserve"> </w:t>
      </w:r>
      <w:r w:rsidR="00A0493B" w:rsidRPr="007A024D">
        <w:rPr>
          <w:sz w:val="22"/>
          <w:szCs w:val="22"/>
        </w:rPr>
        <w:t xml:space="preserve">установив начальную (максимальную) цену </w:t>
      </w:r>
      <w:r w:rsidR="00417416" w:rsidRPr="007A024D">
        <w:rPr>
          <w:sz w:val="22"/>
          <w:szCs w:val="22"/>
        </w:rPr>
        <w:t>договора</w:t>
      </w:r>
      <w:r w:rsidR="00BB3BF6" w:rsidRPr="007A024D">
        <w:rPr>
          <w:sz w:val="22"/>
          <w:szCs w:val="22"/>
        </w:rPr>
        <w:t xml:space="preserve"> </w:t>
      </w:r>
      <w:r w:rsidR="002515CA">
        <w:rPr>
          <w:sz w:val="22"/>
          <w:szCs w:val="22"/>
        </w:rPr>
        <w:t>2540957,72</w:t>
      </w:r>
      <w:r w:rsidR="00A0493B" w:rsidRPr="007A024D">
        <w:rPr>
          <w:sz w:val="22"/>
          <w:szCs w:val="22"/>
        </w:rPr>
        <w:t xml:space="preserve"> руб.</w:t>
      </w:r>
    </w:p>
    <w:p w:rsidR="002515CA" w:rsidRDefault="002515CA" w:rsidP="00E100CB">
      <w:pPr>
        <w:pStyle w:val="ae"/>
        <w:tabs>
          <w:tab w:val="left" w:pos="851"/>
        </w:tabs>
        <w:spacing w:after="0"/>
        <w:ind w:left="0" w:firstLine="709"/>
        <w:jc w:val="both"/>
        <w:rPr>
          <w:sz w:val="22"/>
          <w:szCs w:val="22"/>
        </w:rPr>
      </w:pPr>
      <w:r>
        <w:rPr>
          <w:sz w:val="22"/>
          <w:szCs w:val="22"/>
        </w:rPr>
        <w:t>30.06.2013 Заказчик разместил разъяснения положений документации об аукционе.</w:t>
      </w:r>
    </w:p>
    <w:p w:rsidR="008D358A" w:rsidRPr="007A024D" w:rsidRDefault="0027643B" w:rsidP="00E100CB">
      <w:pPr>
        <w:pStyle w:val="ae"/>
        <w:tabs>
          <w:tab w:val="left" w:pos="851"/>
        </w:tabs>
        <w:spacing w:after="0"/>
        <w:ind w:left="0" w:firstLine="709"/>
        <w:jc w:val="both"/>
        <w:rPr>
          <w:sz w:val="22"/>
          <w:szCs w:val="22"/>
        </w:rPr>
      </w:pPr>
      <w:r w:rsidRPr="007A024D">
        <w:rPr>
          <w:sz w:val="22"/>
          <w:szCs w:val="22"/>
        </w:rPr>
        <w:t xml:space="preserve">Из </w:t>
      </w:r>
      <w:r w:rsidR="00ED7E68" w:rsidRPr="007A024D">
        <w:rPr>
          <w:sz w:val="22"/>
          <w:szCs w:val="22"/>
        </w:rPr>
        <w:t>протокол</w:t>
      </w:r>
      <w:r w:rsidRPr="007A024D">
        <w:rPr>
          <w:sz w:val="22"/>
          <w:szCs w:val="22"/>
        </w:rPr>
        <w:t>а</w:t>
      </w:r>
      <w:r w:rsidR="008D358A" w:rsidRPr="007A024D">
        <w:rPr>
          <w:sz w:val="22"/>
          <w:szCs w:val="22"/>
        </w:rPr>
        <w:t xml:space="preserve"> рассмотрения первых частей заявок на участие в аукционе от </w:t>
      </w:r>
      <w:r w:rsidR="002515CA">
        <w:rPr>
          <w:sz w:val="22"/>
          <w:szCs w:val="22"/>
        </w:rPr>
        <w:t>10</w:t>
      </w:r>
      <w:r w:rsidR="008D358A" w:rsidRPr="007A024D">
        <w:rPr>
          <w:sz w:val="22"/>
          <w:szCs w:val="22"/>
        </w:rPr>
        <w:t>.0</w:t>
      </w:r>
      <w:r w:rsidRPr="007A024D">
        <w:rPr>
          <w:sz w:val="22"/>
          <w:szCs w:val="22"/>
        </w:rPr>
        <w:t>7</w:t>
      </w:r>
      <w:r w:rsidR="008D358A" w:rsidRPr="007A024D">
        <w:rPr>
          <w:sz w:val="22"/>
          <w:szCs w:val="22"/>
        </w:rPr>
        <w:t xml:space="preserve">.2013 следует, что </w:t>
      </w:r>
      <w:r w:rsidR="00F87F8C" w:rsidRPr="007A024D">
        <w:rPr>
          <w:sz w:val="22"/>
          <w:szCs w:val="22"/>
        </w:rPr>
        <w:t xml:space="preserve">на участие в аукционе </w:t>
      </w:r>
      <w:r w:rsidR="008D358A" w:rsidRPr="007A024D">
        <w:rPr>
          <w:sz w:val="22"/>
          <w:szCs w:val="22"/>
        </w:rPr>
        <w:t>поступил</w:t>
      </w:r>
      <w:r w:rsidRPr="007A024D">
        <w:rPr>
          <w:sz w:val="22"/>
          <w:szCs w:val="22"/>
        </w:rPr>
        <w:t>о</w:t>
      </w:r>
      <w:r w:rsidR="00417416" w:rsidRPr="007A024D">
        <w:rPr>
          <w:sz w:val="22"/>
          <w:szCs w:val="22"/>
        </w:rPr>
        <w:t xml:space="preserve"> </w:t>
      </w:r>
      <w:r w:rsidR="002515CA">
        <w:rPr>
          <w:sz w:val="22"/>
          <w:szCs w:val="22"/>
        </w:rPr>
        <w:t>семнадцать</w:t>
      </w:r>
      <w:r w:rsidR="008D358A" w:rsidRPr="007A024D">
        <w:rPr>
          <w:sz w:val="22"/>
          <w:szCs w:val="22"/>
        </w:rPr>
        <w:t xml:space="preserve"> заяв</w:t>
      </w:r>
      <w:r w:rsidR="002515CA">
        <w:rPr>
          <w:sz w:val="22"/>
          <w:szCs w:val="22"/>
        </w:rPr>
        <w:t>ок</w:t>
      </w:r>
      <w:r w:rsidR="008D358A" w:rsidRPr="007A024D">
        <w:rPr>
          <w:sz w:val="22"/>
          <w:szCs w:val="22"/>
        </w:rPr>
        <w:t>,</w:t>
      </w:r>
      <w:r w:rsidR="00E14712" w:rsidRPr="007A024D">
        <w:rPr>
          <w:sz w:val="22"/>
          <w:szCs w:val="22"/>
        </w:rPr>
        <w:t xml:space="preserve"> </w:t>
      </w:r>
      <w:r w:rsidR="002515CA">
        <w:rPr>
          <w:sz w:val="22"/>
          <w:szCs w:val="22"/>
        </w:rPr>
        <w:t>все</w:t>
      </w:r>
      <w:r w:rsidRPr="007A024D">
        <w:rPr>
          <w:sz w:val="22"/>
          <w:szCs w:val="22"/>
        </w:rPr>
        <w:t xml:space="preserve"> </w:t>
      </w:r>
      <w:r w:rsidR="008D358A" w:rsidRPr="007A024D">
        <w:rPr>
          <w:sz w:val="22"/>
          <w:szCs w:val="22"/>
        </w:rPr>
        <w:t>участник</w:t>
      </w:r>
      <w:r w:rsidR="002515CA">
        <w:rPr>
          <w:sz w:val="22"/>
          <w:szCs w:val="22"/>
        </w:rPr>
        <w:t>и</w:t>
      </w:r>
      <w:r w:rsidR="008D358A" w:rsidRPr="007A024D">
        <w:rPr>
          <w:sz w:val="22"/>
          <w:szCs w:val="22"/>
        </w:rPr>
        <w:t xml:space="preserve"> размещения заказа допу</w:t>
      </w:r>
      <w:r w:rsidR="00E14712" w:rsidRPr="007A024D">
        <w:rPr>
          <w:sz w:val="22"/>
          <w:szCs w:val="22"/>
        </w:rPr>
        <w:t>щен</w:t>
      </w:r>
      <w:r w:rsidRPr="007A024D">
        <w:rPr>
          <w:sz w:val="22"/>
          <w:szCs w:val="22"/>
        </w:rPr>
        <w:t>ы</w:t>
      </w:r>
      <w:r w:rsidR="008D358A" w:rsidRPr="007A024D">
        <w:rPr>
          <w:sz w:val="22"/>
          <w:szCs w:val="22"/>
        </w:rPr>
        <w:t xml:space="preserve"> к участию в аукционе.</w:t>
      </w:r>
    </w:p>
    <w:p w:rsidR="00183B16" w:rsidRPr="007A024D" w:rsidRDefault="00183B16" w:rsidP="00E100CB">
      <w:pPr>
        <w:autoSpaceDE w:val="0"/>
        <w:autoSpaceDN w:val="0"/>
        <w:adjustRightInd w:val="0"/>
        <w:ind w:firstLine="709"/>
        <w:jc w:val="both"/>
        <w:outlineLvl w:val="0"/>
        <w:rPr>
          <w:b/>
          <w:sz w:val="22"/>
          <w:szCs w:val="22"/>
        </w:rPr>
      </w:pPr>
    </w:p>
    <w:p w:rsidR="008D358A" w:rsidRPr="00340233" w:rsidRDefault="008D358A" w:rsidP="00340233">
      <w:pPr>
        <w:autoSpaceDE w:val="0"/>
        <w:autoSpaceDN w:val="0"/>
        <w:adjustRightInd w:val="0"/>
        <w:ind w:firstLine="709"/>
        <w:jc w:val="both"/>
        <w:outlineLvl w:val="0"/>
        <w:rPr>
          <w:sz w:val="22"/>
          <w:szCs w:val="22"/>
        </w:rPr>
      </w:pPr>
      <w:r w:rsidRPr="00340233">
        <w:rPr>
          <w:b/>
          <w:sz w:val="22"/>
          <w:szCs w:val="22"/>
        </w:rPr>
        <w:t>3.</w:t>
      </w:r>
      <w:r w:rsidRPr="00340233">
        <w:rPr>
          <w:sz w:val="22"/>
          <w:szCs w:val="22"/>
        </w:rPr>
        <w:t xml:space="preserve"> </w:t>
      </w:r>
      <w:r w:rsidR="007A024D" w:rsidRPr="00340233">
        <w:rPr>
          <w:sz w:val="22"/>
          <w:szCs w:val="22"/>
        </w:rPr>
        <w:t xml:space="preserve">В </w:t>
      </w:r>
      <w:r w:rsidR="002515CA" w:rsidRPr="00340233">
        <w:rPr>
          <w:sz w:val="22"/>
          <w:szCs w:val="22"/>
        </w:rPr>
        <w:t>результате рассмотрения жалобы З</w:t>
      </w:r>
      <w:r w:rsidR="007A024D" w:rsidRPr="00340233">
        <w:rPr>
          <w:sz w:val="22"/>
          <w:szCs w:val="22"/>
        </w:rPr>
        <w:t>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27643B" w:rsidRPr="00340233" w:rsidRDefault="0027643B" w:rsidP="00340233">
      <w:pPr>
        <w:widowControl w:val="0"/>
        <w:autoSpaceDE w:val="0"/>
        <w:autoSpaceDN w:val="0"/>
        <w:adjustRightInd w:val="0"/>
        <w:ind w:firstLine="709"/>
        <w:jc w:val="both"/>
        <w:rPr>
          <w:b/>
          <w:sz w:val="22"/>
          <w:szCs w:val="22"/>
        </w:rPr>
      </w:pPr>
    </w:p>
    <w:p w:rsidR="00340233" w:rsidRPr="00F87F8C" w:rsidRDefault="001D1E00" w:rsidP="00340233">
      <w:pPr>
        <w:widowControl w:val="0"/>
        <w:autoSpaceDE w:val="0"/>
        <w:autoSpaceDN w:val="0"/>
        <w:adjustRightInd w:val="0"/>
        <w:ind w:firstLine="709"/>
        <w:jc w:val="both"/>
        <w:rPr>
          <w:sz w:val="22"/>
          <w:szCs w:val="22"/>
        </w:rPr>
      </w:pPr>
      <w:r w:rsidRPr="00F87F8C">
        <w:rPr>
          <w:b/>
          <w:sz w:val="22"/>
          <w:szCs w:val="22"/>
        </w:rPr>
        <w:lastRenderedPageBreak/>
        <w:t>3.1.</w:t>
      </w:r>
      <w:r w:rsidRPr="00F87F8C">
        <w:rPr>
          <w:sz w:val="22"/>
          <w:szCs w:val="22"/>
        </w:rPr>
        <w:t xml:space="preserve"> </w:t>
      </w:r>
      <w:r w:rsidR="008D358A" w:rsidRPr="00F87F8C">
        <w:rPr>
          <w:sz w:val="22"/>
          <w:szCs w:val="22"/>
        </w:rPr>
        <w:t xml:space="preserve">В силу требований </w:t>
      </w:r>
      <w:r w:rsidR="00890E2E" w:rsidRPr="00F87F8C">
        <w:rPr>
          <w:sz w:val="22"/>
          <w:szCs w:val="22"/>
        </w:rPr>
        <w:t>1</w:t>
      </w:r>
      <w:r w:rsidR="00514D86" w:rsidRPr="00F87F8C">
        <w:rPr>
          <w:sz w:val="22"/>
          <w:szCs w:val="22"/>
        </w:rPr>
        <w:t xml:space="preserve"> статьи 41.6</w:t>
      </w:r>
      <w:r w:rsidR="008D358A" w:rsidRPr="00F87F8C">
        <w:rPr>
          <w:sz w:val="22"/>
          <w:szCs w:val="22"/>
        </w:rPr>
        <w:t xml:space="preserve"> Федерального закона «О размещении заказов»</w:t>
      </w:r>
      <w:r w:rsidR="00514D86" w:rsidRPr="00F87F8C">
        <w:rPr>
          <w:sz w:val="22"/>
          <w:szCs w:val="22"/>
        </w:rPr>
        <w:t xml:space="preserve"> </w:t>
      </w:r>
      <w:r w:rsidR="00340233" w:rsidRPr="00F87F8C">
        <w:rPr>
          <w:sz w:val="22"/>
          <w:szCs w:val="22"/>
        </w:rPr>
        <w:t xml:space="preserve"> документация об открытом аукционе в электронной форме должна соответствовать требованиям, предусмотренным </w:t>
      </w:r>
      <w:hyperlink r:id="rId9" w:history="1">
        <w:r w:rsidR="00340233" w:rsidRPr="00F87F8C">
          <w:rPr>
            <w:sz w:val="22"/>
            <w:szCs w:val="22"/>
          </w:rPr>
          <w:t>частями 1</w:t>
        </w:r>
      </w:hyperlink>
      <w:r w:rsidR="00340233" w:rsidRPr="00F87F8C">
        <w:rPr>
          <w:sz w:val="22"/>
          <w:szCs w:val="22"/>
        </w:rPr>
        <w:t xml:space="preserve"> - </w:t>
      </w:r>
      <w:hyperlink r:id="rId10" w:history="1">
        <w:r w:rsidR="00340233" w:rsidRPr="00F87F8C">
          <w:rPr>
            <w:sz w:val="22"/>
            <w:szCs w:val="22"/>
          </w:rPr>
          <w:t>3.2</w:t>
        </w:r>
      </w:hyperlink>
      <w:r w:rsidR="00340233" w:rsidRPr="00F87F8C">
        <w:rPr>
          <w:sz w:val="22"/>
          <w:szCs w:val="22"/>
        </w:rPr>
        <w:t xml:space="preserve">, </w:t>
      </w:r>
      <w:hyperlink r:id="rId11" w:history="1">
        <w:r w:rsidR="00340233" w:rsidRPr="00F87F8C">
          <w:rPr>
            <w:sz w:val="22"/>
            <w:szCs w:val="22"/>
          </w:rPr>
          <w:t>4.1</w:t>
        </w:r>
      </w:hyperlink>
      <w:r w:rsidR="00340233" w:rsidRPr="00F87F8C">
        <w:rPr>
          <w:sz w:val="22"/>
          <w:szCs w:val="22"/>
        </w:rPr>
        <w:t xml:space="preserve"> - </w:t>
      </w:r>
      <w:hyperlink r:id="rId12" w:history="1">
        <w:r w:rsidR="00340233" w:rsidRPr="00F87F8C">
          <w:rPr>
            <w:sz w:val="22"/>
            <w:szCs w:val="22"/>
          </w:rPr>
          <w:t>6 статьи 34</w:t>
        </w:r>
      </w:hyperlink>
      <w:r w:rsidR="00340233" w:rsidRPr="00F87F8C">
        <w:rPr>
          <w:sz w:val="22"/>
          <w:szCs w:val="22"/>
        </w:rPr>
        <w:t xml:space="preserve"> настоящего Федерального закона.</w:t>
      </w:r>
    </w:p>
    <w:p w:rsidR="00340233" w:rsidRPr="00340233" w:rsidRDefault="00340233" w:rsidP="00340233">
      <w:pPr>
        <w:widowControl w:val="0"/>
        <w:autoSpaceDE w:val="0"/>
        <w:autoSpaceDN w:val="0"/>
        <w:adjustRightInd w:val="0"/>
        <w:ind w:firstLine="709"/>
        <w:jc w:val="both"/>
        <w:rPr>
          <w:sz w:val="22"/>
          <w:szCs w:val="22"/>
        </w:rPr>
      </w:pPr>
      <w:r w:rsidRPr="00F87F8C">
        <w:rPr>
          <w:sz w:val="22"/>
          <w:szCs w:val="22"/>
        </w:rPr>
        <w:t>Согласно части 3 статьи</w:t>
      </w:r>
      <w:r w:rsidRPr="00340233">
        <w:rPr>
          <w:sz w:val="22"/>
          <w:szCs w:val="22"/>
        </w:rPr>
        <w:t xml:space="preserve"> 34 настоящего Федерального закона  </w:t>
      </w:r>
      <w:r w:rsidR="00F87F8C">
        <w:rPr>
          <w:sz w:val="22"/>
          <w:szCs w:val="22"/>
        </w:rPr>
        <w:t>д</w:t>
      </w:r>
      <w:r w:rsidRPr="00340233">
        <w:rPr>
          <w:sz w:val="22"/>
          <w:szCs w:val="22"/>
        </w:rPr>
        <w:t xml:space="preserve">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13" w:history="1">
        <w:r w:rsidRPr="00F87F8C">
          <w:rPr>
            <w:sz w:val="22"/>
            <w:szCs w:val="22"/>
          </w:rPr>
          <w:t>частью 2</w:t>
        </w:r>
      </w:hyperlink>
      <w:r w:rsidRPr="00340233">
        <w:rPr>
          <w:sz w:val="22"/>
          <w:szCs w:val="22"/>
        </w:rPr>
        <w:t xml:space="preserve"> настоящей статьи.</w:t>
      </w:r>
    </w:p>
    <w:p w:rsidR="00340233" w:rsidRDefault="00340233" w:rsidP="00340233">
      <w:pPr>
        <w:widowControl w:val="0"/>
        <w:autoSpaceDE w:val="0"/>
        <w:autoSpaceDN w:val="0"/>
        <w:adjustRightInd w:val="0"/>
        <w:ind w:firstLine="709"/>
        <w:jc w:val="both"/>
        <w:rPr>
          <w:sz w:val="22"/>
          <w:szCs w:val="22"/>
        </w:rPr>
      </w:pPr>
      <w:r>
        <w:rPr>
          <w:sz w:val="22"/>
          <w:szCs w:val="22"/>
        </w:rPr>
        <w:t xml:space="preserve">В своей жалобе Заявитель утверждает, что в нарушение указанных норм </w:t>
      </w:r>
      <w:r w:rsidRPr="00340233">
        <w:rPr>
          <w:i/>
          <w:sz w:val="22"/>
          <w:szCs w:val="22"/>
        </w:rPr>
        <w:t>«в Техническом задании содержаться материалы, из которых требуется выполнить работы, с указанием конкретных товарных знаков без сопровождения словами «или эквивалент». Например, позиции 85-87, 89 «Клапан обратный» с товарным знаком КЛАРА (правообладатель товарного знака ООО «ВЕЗА», копия свидетельства на товарный знак прилагается); позиции 56, 65 «Вентилятор радиальный» с товарным знаком ВРАН (правообладатель товарного знака ООО «ВЕЗА», копия свидетельства на товарный знак прилагается)»</w:t>
      </w:r>
      <w:r>
        <w:rPr>
          <w:sz w:val="22"/>
          <w:szCs w:val="22"/>
        </w:rPr>
        <w:t>.</w:t>
      </w:r>
    </w:p>
    <w:p w:rsidR="00340233" w:rsidRDefault="00340233" w:rsidP="00340233">
      <w:pPr>
        <w:widowControl w:val="0"/>
        <w:autoSpaceDE w:val="0"/>
        <w:autoSpaceDN w:val="0"/>
        <w:adjustRightInd w:val="0"/>
        <w:ind w:firstLine="709"/>
        <w:jc w:val="both"/>
        <w:rPr>
          <w:sz w:val="22"/>
          <w:szCs w:val="22"/>
        </w:rPr>
      </w:pPr>
      <w:r>
        <w:rPr>
          <w:sz w:val="22"/>
          <w:szCs w:val="22"/>
        </w:rPr>
        <w:t>В подтверждение своих доводов Заявитель представил копии свидетельств на товарные знаки «ВРАН» и «КЛАРА»</w:t>
      </w:r>
      <w:r w:rsidR="0088404F">
        <w:rPr>
          <w:sz w:val="22"/>
          <w:szCs w:val="22"/>
        </w:rPr>
        <w:t xml:space="preserve"> №№ 368402 и 391390</w:t>
      </w:r>
      <w:r w:rsidR="00F87F8C">
        <w:rPr>
          <w:sz w:val="22"/>
          <w:szCs w:val="22"/>
        </w:rPr>
        <w:t xml:space="preserve"> соответственно</w:t>
      </w:r>
      <w:r w:rsidR="0088404F">
        <w:rPr>
          <w:sz w:val="22"/>
          <w:szCs w:val="22"/>
        </w:rPr>
        <w:t>.</w:t>
      </w:r>
    </w:p>
    <w:p w:rsidR="0088404F" w:rsidRPr="0088404F" w:rsidRDefault="0088404F" w:rsidP="0088404F">
      <w:pPr>
        <w:widowControl w:val="0"/>
        <w:autoSpaceDE w:val="0"/>
        <w:autoSpaceDN w:val="0"/>
        <w:adjustRightInd w:val="0"/>
        <w:ind w:firstLine="709"/>
        <w:jc w:val="both"/>
        <w:rPr>
          <w:sz w:val="22"/>
          <w:szCs w:val="22"/>
        </w:rPr>
      </w:pPr>
      <w:r>
        <w:rPr>
          <w:sz w:val="22"/>
          <w:szCs w:val="22"/>
        </w:rPr>
        <w:t xml:space="preserve">Изучив документацию об аукционе, Комиссия установила, что </w:t>
      </w:r>
      <w:r w:rsidR="00F87F8C">
        <w:rPr>
          <w:sz w:val="22"/>
          <w:szCs w:val="22"/>
        </w:rPr>
        <w:t>согласно указанным</w:t>
      </w:r>
      <w:r>
        <w:rPr>
          <w:sz w:val="22"/>
          <w:szCs w:val="22"/>
        </w:rPr>
        <w:t xml:space="preserve"> позициям Приложения </w:t>
      </w:r>
      <w:r w:rsidRPr="0088404F">
        <w:rPr>
          <w:sz w:val="22"/>
          <w:szCs w:val="22"/>
        </w:rPr>
        <w:t>№ 2 «Ведомость объемов работ и материалов» к документации об аукционе требуются к использованию материалы «Клапан обратный «КЛАРА» и «Вентилятор радиальный «ВРАН» без сопровождения словами «или эквивалент».</w:t>
      </w:r>
    </w:p>
    <w:p w:rsidR="0088404F" w:rsidRPr="0088404F" w:rsidRDefault="0088404F" w:rsidP="0088404F">
      <w:pPr>
        <w:widowControl w:val="0"/>
        <w:autoSpaceDE w:val="0"/>
        <w:autoSpaceDN w:val="0"/>
        <w:adjustRightInd w:val="0"/>
        <w:ind w:firstLine="709"/>
        <w:jc w:val="both"/>
        <w:rPr>
          <w:sz w:val="22"/>
          <w:szCs w:val="22"/>
        </w:rPr>
      </w:pPr>
      <w:r w:rsidRPr="0088404F">
        <w:rPr>
          <w:sz w:val="22"/>
          <w:szCs w:val="22"/>
        </w:rPr>
        <w:t>Таким образом, Комиссия считает</w:t>
      </w:r>
      <w:r w:rsidR="00ED1615">
        <w:rPr>
          <w:sz w:val="22"/>
          <w:szCs w:val="22"/>
        </w:rPr>
        <w:t xml:space="preserve"> довод Заявителя обоснованным, а</w:t>
      </w:r>
      <w:r w:rsidRPr="0088404F">
        <w:rPr>
          <w:sz w:val="22"/>
          <w:szCs w:val="22"/>
        </w:rPr>
        <w:t xml:space="preserve"> указанные действия Заказчика</w:t>
      </w:r>
      <w:r w:rsidR="00F87F8C">
        <w:rPr>
          <w:sz w:val="22"/>
          <w:szCs w:val="22"/>
        </w:rPr>
        <w:t>,</w:t>
      </w:r>
      <w:r w:rsidRPr="0088404F">
        <w:rPr>
          <w:sz w:val="22"/>
          <w:szCs w:val="22"/>
        </w:rPr>
        <w:t xml:space="preserve"> наруш</w:t>
      </w:r>
      <w:r w:rsidR="00ED1615">
        <w:rPr>
          <w:sz w:val="22"/>
          <w:szCs w:val="22"/>
        </w:rPr>
        <w:t>ающими</w:t>
      </w:r>
      <w:r w:rsidRPr="0088404F">
        <w:rPr>
          <w:sz w:val="22"/>
          <w:szCs w:val="22"/>
        </w:rPr>
        <w:t xml:space="preserve"> требовани</w:t>
      </w:r>
      <w:r w:rsidR="00F87F8C">
        <w:rPr>
          <w:sz w:val="22"/>
          <w:szCs w:val="22"/>
        </w:rPr>
        <w:t>я части 1 статьи 41.6</w:t>
      </w:r>
      <w:r w:rsidRPr="0088404F">
        <w:rPr>
          <w:sz w:val="22"/>
          <w:szCs w:val="22"/>
        </w:rPr>
        <w:t xml:space="preserve"> </w:t>
      </w:r>
      <w:r w:rsidR="00F87F8C">
        <w:rPr>
          <w:sz w:val="22"/>
          <w:szCs w:val="22"/>
        </w:rPr>
        <w:t xml:space="preserve">и </w:t>
      </w:r>
      <w:r w:rsidR="00F87F8C" w:rsidRPr="0088404F">
        <w:rPr>
          <w:sz w:val="22"/>
          <w:szCs w:val="22"/>
        </w:rPr>
        <w:t xml:space="preserve">части 3 статьи 34 </w:t>
      </w:r>
      <w:r w:rsidRPr="0088404F">
        <w:rPr>
          <w:sz w:val="22"/>
          <w:szCs w:val="22"/>
        </w:rPr>
        <w:t>Федерального закона «О размещении заказов».</w:t>
      </w:r>
    </w:p>
    <w:p w:rsidR="00183B16" w:rsidRPr="0088404F" w:rsidRDefault="00183B16" w:rsidP="0088404F">
      <w:pPr>
        <w:autoSpaceDE w:val="0"/>
        <w:autoSpaceDN w:val="0"/>
        <w:adjustRightInd w:val="0"/>
        <w:ind w:firstLine="709"/>
        <w:jc w:val="both"/>
        <w:outlineLvl w:val="1"/>
        <w:rPr>
          <w:sz w:val="22"/>
          <w:szCs w:val="22"/>
        </w:rPr>
      </w:pPr>
    </w:p>
    <w:p w:rsidR="0088404F" w:rsidRPr="0088404F" w:rsidRDefault="00DE493F" w:rsidP="0088404F">
      <w:pPr>
        <w:widowControl w:val="0"/>
        <w:autoSpaceDE w:val="0"/>
        <w:autoSpaceDN w:val="0"/>
        <w:adjustRightInd w:val="0"/>
        <w:ind w:firstLine="709"/>
        <w:jc w:val="both"/>
        <w:rPr>
          <w:sz w:val="22"/>
          <w:szCs w:val="22"/>
        </w:rPr>
      </w:pPr>
      <w:r w:rsidRPr="0088404F">
        <w:rPr>
          <w:b/>
          <w:sz w:val="22"/>
          <w:szCs w:val="22"/>
        </w:rPr>
        <w:t>3.2.</w:t>
      </w:r>
      <w:r w:rsidRPr="0088404F">
        <w:rPr>
          <w:sz w:val="22"/>
          <w:szCs w:val="22"/>
        </w:rPr>
        <w:t xml:space="preserve"> </w:t>
      </w:r>
      <w:r w:rsidR="0088404F" w:rsidRPr="0088404F">
        <w:rPr>
          <w:sz w:val="22"/>
          <w:szCs w:val="22"/>
        </w:rPr>
        <w:t>П</w:t>
      </w:r>
      <w:r w:rsidR="00AA6AE9" w:rsidRPr="0088404F">
        <w:rPr>
          <w:sz w:val="22"/>
          <w:szCs w:val="22"/>
        </w:rPr>
        <w:t>ункт</w:t>
      </w:r>
      <w:r w:rsidR="0088404F" w:rsidRPr="0088404F">
        <w:rPr>
          <w:sz w:val="22"/>
          <w:szCs w:val="22"/>
        </w:rPr>
        <w:t>ом</w:t>
      </w:r>
      <w:r w:rsidR="00AA6AE9" w:rsidRPr="0088404F">
        <w:rPr>
          <w:sz w:val="22"/>
          <w:szCs w:val="22"/>
        </w:rPr>
        <w:t xml:space="preserve"> 1 части </w:t>
      </w:r>
      <w:r w:rsidR="0088404F" w:rsidRPr="0088404F">
        <w:rPr>
          <w:sz w:val="22"/>
          <w:szCs w:val="22"/>
        </w:rPr>
        <w:t>4</w:t>
      </w:r>
      <w:r w:rsidR="00AA6AE9" w:rsidRPr="0088404F">
        <w:rPr>
          <w:sz w:val="22"/>
          <w:szCs w:val="22"/>
        </w:rPr>
        <w:t xml:space="preserve"> статьи 41.6 Федерального закона «О размещении заказов» </w:t>
      </w:r>
      <w:r w:rsidR="0088404F" w:rsidRPr="0088404F">
        <w:rPr>
          <w:sz w:val="22"/>
          <w:szCs w:val="22"/>
        </w:rPr>
        <w:t>установлено, что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r w:rsidR="0088404F">
        <w:rPr>
          <w:sz w:val="22"/>
          <w:szCs w:val="22"/>
        </w:rPr>
        <w:t>.</w:t>
      </w:r>
    </w:p>
    <w:p w:rsidR="009777B9" w:rsidRDefault="00BA4407" w:rsidP="008D565E">
      <w:pPr>
        <w:autoSpaceDE w:val="0"/>
        <w:autoSpaceDN w:val="0"/>
        <w:adjustRightInd w:val="0"/>
        <w:ind w:firstLine="709"/>
        <w:jc w:val="both"/>
        <w:outlineLvl w:val="1"/>
        <w:rPr>
          <w:sz w:val="22"/>
          <w:szCs w:val="22"/>
        </w:rPr>
      </w:pPr>
      <w:r>
        <w:rPr>
          <w:sz w:val="22"/>
          <w:szCs w:val="22"/>
        </w:rPr>
        <w:t xml:space="preserve">В жалобе Заявитель утверждает, что </w:t>
      </w:r>
      <w:r w:rsidRPr="00BA4407">
        <w:rPr>
          <w:i/>
          <w:sz w:val="22"/>
          <w:szCs w:val="22"/>
        </w:rPr>
        <w:t>«в нарушение вышеуказанной нормы Федерального закона документация об открытом аукционе, а именно Техническое задание, не содержит требования к используемым для определения соответствия потребностям Заказчика и эквивалентности максимальные и (или) минимальные значения показателей используемых товаров (материалов) (например, по позициям Технического задания № 11, 26, 39 «Комплект автоматики», № 13, 28 «Дополнительное оборудование», и т.д.), что не позволяет корректно подготовить заявку и сформировать ценовое предложение для участия в открытом аукционе в электронной форме»</w:t>
      </w:r>
      <w:r>
        <w:rPr>
          <w:sz w:val="22"/>
          <w:szCs w:val="22"/>
        </w:rPr>
        <w:t>.</w:t>
      </w:r>
    </w:p>
    <w:p w:rsidR="0088404F" w:rsidRPr="001938C5" w:rsidRDefault="00BA4407" w:rsidP="008D565E">
      <w:pPr>
        <w:autoSpaceDE w:val="0"/>
        <w:autoSpaceDN w:val="0"/>
        <w:adjustRightInd w:val="0"/>
        <w:ind w:firstLine="709"/>
        <w:jc w:val="both"/>
        <w:outlineLvl w:val="1"/>
        <w:rPr>
          <w:sz w:val="22"/>
          <w:szCs w:val="22"/>
        </w:rPr>
      </w:pPr>
      <w:r>
        <w:rPr>
          <w:sz w:val="22"/>
          <w:szCs w:val="22"/>
        </w:rPr>
        <w:t xml:space="preserve">Изучив документацию об аукционе, Комиссия установила, что по ряду позиций Приложения </w:t>
      </w:r>
      <w:r w:rsidRPr="0088404F">
        <w:rPr>
          <w:sz w:val="22"/>
          <w:szCs w:val="22"/>
        </w:rPr>
        <w:t>№ 2 «Ведомость объемов работ и материалов» к документации об аукционе</w:t>
      </w:r>
      <w:r w:rsidR="00D6353C">
        <w:rPr>
          <w:sz w:val="22"/>
          <w:szCs w:val="22"/>
        </w:rPr>
        <w:t xml:space="preserve"> </w:t>
      </w:r>
      <w:r>
        <w:rPr>
          <w:sz w:val="22"/>
          <w:szCs w:val="22"/>
        </w:rPr>
        <w:t xml:space="preserve">указан предлагаемый к использованию материал без указания каких-либо значений показателей, устанавливаемых в силу </w:t>
      </w:r>
      <w:r w:rsidRPr="001938C5">
        <w:rPr>
          <w:sz w:val="22"/>
          <w:szCs w:val="22"/>
        </w:rPr>
        <w:t xml:space="preserve">требований </w:t>
      </w:r>
      <w:r w:rsidR="00D6353C">
        <w:rPr>
          <w:sz w:val="22"/>
          <w:szCs w:val="22"/>
        </w:rPr>
        <w:t xml:space="preserve">пункта </w:t>
      </w:r>
      <w:r w:rsidR="00D6353C" w:rsidRPr="0088404F">
        <w:rPr>
          <w:sz w:val="22"/>
          <w:szCs w:val="22"/>
        </w:rPr>
        <w:t xml:space="preserve">1 части 4 статьи 41.6 Федерального закона «О размещении заказов» </w:t>
      </w:r>
      <w:r w:rsidRPr="001938C5">
        <w:rPr>
          <w:sz w:val="22"/>
          <w:szCs w:val="22"/>
        </w:rPr>
        <w:t>и используемых для определения соответствия потребностям з</w:t>
      </w:r>
      <w:r w:rsidR="00836DDF" w:rsidRPr="001938C5">
        <w:rPr>
          <w:sz w:val="22"/>
          <w:szCs w:val="22"/>
        </w:rPr>
        <w:t>аказчика, например:</w:t>
      </w:r>
    </w:p>
    <w:p w:rsidR="001938C5" w:rsidRPr="001938C5" w:rsidRDefault="001938C5" w:rsidP="008D565E">
      <w:pPr>
        <w:autoSpaceDE w:val="0"/>
        <w:autoSpaceDN w:val="0"/>
        <w:adjustRightInd w:val="0"/>
        <w:ind w:firstLine="709"/>
        <w:jc w:val="both"/>
        <w:outlineLvl w:val="1"/>
        <w:rPr>
          <w:sz w:val="22"/>
          <w:szCs w:val="22"/>
        </w:rPr>
      </w:pPr>
    </w:p>
    <w:tbl>
      <w:tblPr>
        <w:tblW w:w="10206" w:type="dxa"/>
        <w:tblInd w:w="108" w:type="dxa"/>
        <w:tblLayout w:type="fixed"/>
        <w:tblLook w:val="00A0"/>
      </w:tblPr>
      <w:tblGrid>
        <w:gridCol w:w="710"/>
        <w:gridCol w:w="6237"/>
        <w:gridCol w:w="1701"/>
        <w:gridCol w:w="1558"/>
      </w:tblGrid>
      <w:tr w:rsidR="001938C5" w:rsidRPr="001938C5" w:rsidTr="001938C5">
        <w:trPr>
          <w:trHeight w:val="255"/>
        </w:trPr>
        <w:tc>
          <w:tcPr>
            <w:tcW w:w="710" w:type="dxa"/>
            <w:tcBorders>
              <w:top w:val="single" w:sz="4" w:space="0" w:color="auto"/>
              <w:left w:val="single" w:sz="4" w:space="0" w:color="auto"/>
              <w:bottom w:val="single" w:sz="4" w:space="0" w:color="auto"/>
              <w:right w:val="single" w:sz="4" w:space="0" w:color="auto"/>
            </w:tcBorders>
            <w:noWrap/>
            <w:vAlign w:val="center"/>
            <w:hideMark/>
          </w:tcPr>
          <w:p w:rsidR="001938C5" w:rsidRPr="001938C5" w:rsidRDefault="001938C5" w:rsidP="00E76D03">
            <w:pPr>
              <w:jc w:val="center"/>
              <w:rPr>
                <w:rFonts w:eastAsia="Calibri"/>
                <w:sz w:val="22"/>
                <w:szCs w:val="22"/>
              </w:rPr>
            </w:pPr>
            <w:r w:rsidRPr="001938C5">
              <w:rPr>
                <w:rFonts w:eastAsia="Calibri"/>
                <w:sz w:val="22"/>
                <w:szCs w:val="22"/>
              </w:rPr>
              <w:t xml:space="preserve">№ </w:t>
            </w:r>
            <w:r w:rsidRPr="001938C5">
              <w:rPr>
                <w:rFonts w:eastAsia="Calibri"/>
                <w:sz w:val="22"/>
                <w:szCs w:val="22"/>
              </w:rPr>
              <w:lastRenderedPageBreak/>
              <w:t>п/п</w:t>
            </w:r>
          </w:p>
        </w:tc>
        <w:tc>
          <w:tcPr>
            <w:tcW w:w="6237" w:type="dxa"/>
            <w:tcBorders>
              <w:top w:val="single" w:sz="4" w:space="0" w:color="auto"/>
              <w:left w:val="nil"/>
              <w:bottom w:val="single" w:sz="4" w:space="0" w:color="auto"/>
              <w:right w:val="single" w:sz="4" w:space="0" w:color="auto"/>
            </w:tcBorders>
            <w:noWrap/>
            <w:vAlign w:val="center"/>
            <w:hideMark/>
          </w:tcPr>
          <w:p w:rsidR="001938C5" w:rsidRPr="001938C5" w:rsidRDefault="001938C5" w:rsidP="001938C5">
            <w:pPr>
              <w:rPr>
                <w:rFonts w:eastAsia="Calibri"/>
                <w:sz w:val="22"/>
                <w:szCs w:val="22"/>
              </w:rPr>
            </w:pPr>
            <w:r w:rsidRPr="001938C5">
              <w:rPr>
                <w:rFonts w:eastAsia="Calibri"/>
                <w:sz w:val="22"/>
                <w:szCs w:val="22"/>
              </w:rPr>
              <w:lastRenderedPageBreak/>
              <w:t>Единица измерения</w:t>
            </w:r>
          </w:p>
        </w:tc>
        <w:tc>
          <w:tcPr>
            <w:tcW w:w="1701" w:type="dxa"/>
            <w:tcBorders>
              <w:top w:val="single" w:sz="4" w:space="0" w:color="auto"/>
              <w:left w:val="nil"/>
              <w:bottom w:val="single" w:sz="4" w:space="0" w:color="auto"/>
              <w:right w:val="single" w:sz="4" w:space="0" w:color="auto"/>
            </w:tcBorders>
            <w:noWrap/>
            <w:vAlign w:val="center"/>
            <w:hideMark/>
          </w:tcPr>
          <w:p w:rsidR="001938C5" w:rsidRPr="001938C5" w:rsidRDefault="001938C5" w:rsidP="00E76D03">
            <w:pPr>
              <w:jc w:val="center"/>
              <w:rPr>
                <w:rFonts w:eastAsia="Calibri"/>
                <w:sz w:val="22"/>
                <w:szCs w:val="22"/>
              </w:rPr>
            </w:pPr>
            <w:r w:rsidRPr="001938C5">
              <w:rPr>
                <w:rFonts w:eastAsia="Calibri"/>
                <w:sz w:val="22"/>
                <w:szCs w:val="22"/>
              </w:rPr>
              <w:t>Количество</w:t>
            </w:r>
          </w:p>
        </w:tc>
        <w:tc>
          <w:tcPr>
            <w:tcW w:w="1558" w:type="dxa"/>
            <w:tcBorders>
              <w:top w:val="single" w:sz="4" w:space="0" w:color="auto"/>
              <w:left w:val="nil"/>
              <w:bottom w:val="single" w:sz="4" w:space="0" w:color="auto"/>
              <w:right w:val="single" w:sz="4" w:space="0" w:color="auto"/>
            </w:tcBorders>
            <w:noWrap/>
            <w:vAlign w:val="center"/>
            <w:hideMark/>
          </w:tcPr>
          <w:p w:rsidR="001938C5" w:rsidRPr="001938C5" w:rsidRDefault="001938C5" w:rsidP="00E76D03">
            <w:pPr>
              <w:jc w:val="center"/>
              <w:rPr>
                <w:rFonts w:eastAsia="Calibri"/>
                <w:sz w:val="22"/>
                <w:szCs w:val="22"/>
              </w:rPr>
            </w:pPr>
            <w:r w:rsidRPr="001938C5">
              <w:rPr>
                <w:rFonts w:eastAsia="Calibri"/>
                <w:sz w:val="22"/>
                <w:szCs w:val="22"/>
              </w:rPr>
              <w:t>Примечание</w:t>
            </w:r>
          </w:p>
        </w:tc>
      </w:tr>
      <w:tr w:rsidR="001938C5" w:rsidRPr="001938C5" w:rsidTr="001938C5">
        <w:trPr>
          <w:trHeight w:val="255"/>
        </w:trPr>
        <w:tc>
          <w:tcPr>
            <w:tcW w:w="710" w:type="dxa"/>
            <w:tcBorders>
              <w:top w:val="single" w:sz="4" w:space="0" w:color="auto"/>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lastRenderedPageBreak/>
              <w:t>7</w:t>
            </w:r>
          </w:p>
        </w:tc>
        <w:tc>
          <w:tcPr>
            <w:tcW w:w="6237" w:type="dxa"/>
            <w:tcBorders>
              <w:top w:val="single" w:sz="4" w:space="0" w:color="auto"/>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Датчик защиты от замораживания</w:t>
            </w:r>
          </w:p>
        </w:tc>
        <w:tc>
          <w:tcPr>
            <w:tcW w:w="1701" w:type="dxa"/>
            <w:tcBorders>
              <w:top w:val="single" w:sz="4" w:space="0" w:color="auto"/>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 комплект</w:t>
            </w:r>
          </w:p>
        </w:tc>
        <w:tc>
          <w:tcPr>
            <w:tcW w:w="1558" w:type="dxa"/>
            <w:tcBorders>
              <w:top w:val="single" w:sz="4" w:space="0" w:color="auto"/>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2</w:t>
            </w:r>
          </w:p>
        </w:tc>
      </w:tr>
      <w:tr w:rsidR="001938C5" w:rsidRPr="001938C5" w:rsidTr="001938C5">
        <w:trPr>
          <w:trHeight w:val="255"/>
        </w:trPr>
        <w:tc>
          <w:tcPr>
            <w:tcW w:w="710" w:type="dxa"/>
            <w:tcBorders>
              <w:top w:val="nil"/>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8</w:t>
            </w:r>
          </w:p>
        </w:tc>
        <w:tc>
          <w:tcPr>
            <w:tcW w:w="6237" w:type="dxa"/>
            <w:tcBorders>
              <w:top w:val="nil"/>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Комнатный термостат</w:t>
            </w:r>
          </w:p>
        </w:tc>
        <w:tc>
          <w:tcPr>
            <w:tcW w:w="1701"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 штука</w:t>
            </w:r>
          </w:p>
        </w:tc>
        <w:tc>
          <w:tcPr>
            <w:tcW w:w="1558"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w:t>
            </w:r>
          </w:p>
        </w:tc>
      </w:tr>
      <w:tr w:rsidR="001938C5" w:rsidRPr="001938C5" w:rsidTr="001938C5">
        <w:trPr>
          <w:trHeight w:val="255"/>
        </w:trPr>
        <w:tc>
          <w:tcPr>
            <w:tcW w:w="710" w:type="dxa"/>
            <w:tcBorders>
              <w:top w:val="nil"/>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9</w:t>
            </w:r>
          </w:p>
        </w:tc>
        <w:tc>
          <w:tcPr>
            <w:tcW w:w="6237" w:type="dxa"/>
            <w:tcBorders>
              <w:top w:val="nil"/>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Шкаф управления и регулирования</w:t>
            </w:r>
          </w:p>
        </w:tc>
        <w:tc>
          <w:tcPr>
            <w:tcW w:w="1701"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 шкаф</w:t>
            </w:r>
          </w:p>
        </w:tc>
        <w:tc>
          <w:tcPr>
            <w:tcW w:w="1558"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w:t>
            </w:r>
          </w:p>
        </w:tc>
      </w:tr>
      <w:tr w:rsidR="001938C5" w:rsidRPr="001938C5" w:rsidTr="001938C5">
        <w:trPr>
          <w:trHeight w:val="255"/>
        </w:trPr>
        <w:tc>
          <w:tcPr>
            <w:tcW w:w="710" w:type="dxa"/>
            <w:tcBorders>
              <w:top w:val="nil"/>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10</w:t>
            </w:r>
          </w:p>
        </w:tc>
        <w:tc>
          <w:tcPr>
            <w:tcW w:w="6237" w:type="dxa"/>
            <w:tcBorders>
              <w:top w:val="nil"/>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Контроллер</w:t>
            </w:r>
          </w:p>
        </w:tc>
        <w:tc>
          <w:tcPr>
            <w:tcW w:w="1701"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 штука</w:t>
            </w:r>
          </w:p>
        </w:tc>
        <w:tc>
          <w:tcPr>
            <w:tcW w:w="1558"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w:t>
            </w:r>
          </w:p>
        </w:tc>
      </w:tr>
      <w:tr w:rsidR="001938C5" w:rsidRPr="001938C5" w:rsidTr="001938C5">
        <w:trPr>
          <w:trHeight w:val="255"/>
        </w:trPr>
        <w:tc>
          <w:tcPr>
            <w:tcW w:w="710" w:type="dxa"/>
            <w:tcBorders>
              <w:top w:val="nil"/>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11</w:t>
            </w:r>
          </w:p>
        </w:tc>
        <w:tc>
          <w:tcPr>
            <w:tcW w:w="6237" w:type="dxa"/>
            <w:tcBorders>
              <w:top w:val="nil"/>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Комплект автоматики</w:t>
            </w:r>
            <w:r w:rsidRPr="00D6353C">
              <w:rPr>
                <w:rFonts w:eastAsia="Calibri"/>
                <w:i/>
                <w:sz w:val="22"/>
                <w:szCs w:val="22"/>
              </w:rPr>
              <w:br/>
              <w:t>Формулы цены единицы:</w:t>
            </w:r>
          </w:p>
        </w:tc>
        <w:tc>
          <w:tcPr>
            <w:tcW w:w="1701"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штука</w:t>
            </w:r>
          </w:p>
        </w:tc>
        <w:tc>
          <w:tcPr>
            <w:tcW w:w="1558"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w:t>
            </w:r>
          </w:p>
        </w:tc>
      </w:tr>
      <w:tr w:rsidR="001938C5" w:rsidRPr="001938C5" w:rsidTr="001938C5">
        <w:trPr>
          <w:trHeight w:val="255"/>
        </w:trPr>
        <w:tc>
          <w:tcPr>
            <w:tcW w:w="710" w:type="dxa"/>
            <w:tcBorders>
              <w:top w:val="nil"/>
              <w:left w:val="single" w:sz="4" w:space="0" w:color="auto"/>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13</w:t>
            </w:r>
          </w:p>
        </w:tc>
        <w:tc>
          <w:tcPr>
            <w:tcW w:w="6237" w:type="dxa"/>
            <w:tcBorders>
              <w:top w:val="nil"/>
              <w:left w:val="nil"/>
              <w:bottom w:val="single" w:sz="4" w:space="0" w:color="auto"/>
              <w:right w:val="single" w:sz="4" w:space="0" w:color="auto"/>
            </w:tcBorders>
            <w:noWrap/>
            <w:vAlign w:val="center"/>
            <w:hideMark/>
          </w:tcPr>
          <w:p w:rsidR="001938C5" w:rsidRPr="00D6353C" w:rsidRDefault="001938C5" w:rsidP="00E76D03">
            <w:pPr>
              <w:rPr>
                <w:rFonts w:eastAsia="Calibri"/>
                <w:i/>
                <w:sz w:val="22"/>
                <w:szCs w:val="22"/>
              </w:rPr>
            </w:pPr>
            <w:r w:rsidRPr="00D6353C">
              <w:rPr>
                <w:rFonts w:eastAsia="Calibri"/>
                <w:i/>
                <w:sz w:val="22"/>
                <w:szCs w:val="22"/>
              </w:rPr>
              <w:t>Дополнительное оборудование</w:t>
            </w:r>
          </w:p>
        </w:tc>
        <w:tc>
          <w:tcPr>
            <w:tcW w:w="1701"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штука</w:t>
            </w:r>
          </w:p>
        </w:tc>
        <w:tc>
          <w:tcPr>
            <w:tcW w:w="1558" w:type="dxa"/>
            <w:tcBorders>
              <w:top w:val="nil"/>
              <w:left w:val="nil"/>
              <w:bottom w:val="single" w:sz="4" w:space="0" w:color="auto"/>
              <w:right w:val="single" w:sz="4" w:space="0" w:color="auto"/>
            </w:tcBorders>
            <w:noWrap/>
            <w:vAlign w:val="center"/>
            <w:hideMark/>
          </w:tcPr>
          <w:p w:rsidR="001938C5" w:rsidRPr="00D6353C" w:rsidRDefault="001938C5" w:rsidP="00E76D03">
            <w:pPr>
              <w:jc w:val="center"/>
              <w:rPr>
                <w:rFonts w:eastAsia="Calibri"/>
                <w:i/>
                <w:sz w:val="22"/>
                <w:szCs w:val="22"/>
              </w:rPr>
            </w:pPr>
            <w:r w:rsidRPr="00D6353C">
              <w:rPr>
                <w:rFonts w:eastAsia="Calibri"/>
                <w:i/>
                <w:sz w:val="22"/>
                <w:szCs w:val="22"/>
              </w:rPr>
              <w:t>1</w:t>
            </w:r>
          </w:p>
        </w:tc>
      </w:tr>
      <w:tr w:rsidR="001938C5" w:rsidRPr="001938C5" w:rsidTr="001938C5">
        <w:tblPrEx>
          <w:tblLook w:val="04A0"/>
        </w:tblPrEx>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18</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Реле перепада давления</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19</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Канальный датчик температуры приточного воздуха</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22</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Датчик защиты от замораживания</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комплект</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23</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Комнатный термостат</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24</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Шкаф управления и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шкаф</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25</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ind w:left="-99" w:firstLine="99"/>
              <w:rPr>
                <w:i/>
                <w:sz w:val="22"/>
                <w:szCs w:val="22"/>
              </w:rPr>
            </w:pPr>
            <w:r w:rsidRPr="00D6353C">
              <w:rPr>
                <w:i/>
                <w:sz w:val="22"/>
                <w:szCs w:val="22"/>
              </w:rPr>
              <w:t>Контроллер</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8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26</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bCs/>
                <w:i/>
                <w:sz w:val="22"/>
                <w:szCs w:val="22"/>
              </w:rPr>
            </w:pPr>
            <w:r w:rsidRPr="00D6353C">
              <w:rPr>
                <w:bCs/>
                <w:i/>
                <w:sz w:val="22"/>
                <w:szCs w:val="22"/>
              </w:rPr>
              <w:t>Комплект автоматики</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bCs/>
                <w:i/>
                <w:sz w:val="22"/>
                <w:szCs w:val="22"/>
              </w:rPr>
            </w:pPr>
            <w:r w:rsidRPr="00D6353C">
              <w:rPr>
                <w:bCs/>
                <w:i/>
                <w:sz w:val="22"/>
                <w:szCs w:val="22"/>
              </w:rPr>
              <w:t>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1</w:t>
            </w:r>
          </w:p>
        </w:tc>
      </w:tr>
      <w:tr w:rsidR="001938C5" w:rsidRPr="001938C5" w:rsidTr="001938C5">
        <w:tblPrEx>
          <w:tblLook w:val="04A0"/>
        </w:tblPrEx>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28</w:t>
            </w:r>
          </w:p>
        </w:tc>
        <w:tc>
          <w:tcPr>
            <w:tcW w:w="6237"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rPr>
                <w:bCs/>
                <w:i/>
                <w:sz w:val="22"/>
                <w:szCs w:val="22"/>
              </w:rPr>
            </w:pPr>
            <w:r w:rsidRPr="00D6353C">
              <w:rPr>
                <w:bCs/>
                <w:i/>
                <w:sz w:val="22"/>
                <w:szCs w:val="22"/>
              </w:rPr>
              <w:t>Дополнительное оборудование</w:t>
            </w:r>
          </w:p>
        </w:tc>
        <w:tc>
          <w:tcPr>
            <w:tcW w:w="1701" w:type="dxa"/>
            <w:tcBorders>
              <w:top w:val="nil"/>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bCs/>
                <w:i/>
                <w:sz w:val="22"/>
                <w:szCs w:val="22"/>
              </w:rPr>
            </w:pPr>
            <w:r w:rsidRPr="00D6353C">
              <w:rPr>
                <w:bCs/>
                <w:i/>
                <w:sz w:val="22"/>
                <w:szCs w:val="22"/>
              </w:rPr>
              <w:t>штука</w:t>
            </w:r>
          </w:p>
        </w:tc>
        <w:tc>
          <w:tcPr>
            <w:tcW w:w="1558" w:type="dxa"/>
            <w:tcBorders>
              <w:top w:val="nil"/>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1</w:t>
            </w:r>
          </w:p>
        </w:tc>
      </w:tr>
      <w:tr w:rsidR="001938C5" w:rsidRPr="001938C5" w:rsidTr="001938C5">
        <w:tblPrEx>
          <w:tblLook w:val="04A0"/>
        </w:tblPrEx>
        <w:trPr>
          <w:trHeight w:val="1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Реле перепада давления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Канальный датчик температуры приточного воздуха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Датчик защиты от замораживания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комплект</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2</w:t>
            </w:r>
          </w:p>
        </w:tc>
      </w:tr>
      <w:tr w:rsidR="001938C5" w:rsidRPr="001938C5" w:rsidTr="001938C5">
        <w:tblPrEx>
          <w:tblLook w:val="04A0"/>
        </w:tblPrEx>
        <w:trPr>
          <w:trHeight w:val="25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Комнатный термостат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5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37</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Шкаф управления и регулирования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шкаф</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38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i/>
                <w:sz w:val="22"/>
                <w:szCs w:val="22"/>
              </w:rPr>
            </w:pPr>
            <w:r w:rsidRPr="00D6353C">
              <w:rPr>
                <w:i/>
                <w:sz w:val="22"/>
                <w:szCs w:val="22"/>
              </w:rPr>
              <w:t>Контроллер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i/>
                <w:sz w:val="22"/>
                <w:szCs w:val="22"/>
              </w:rPr>
            </w:pPr>
            <w:r w:rsidRPr="00D6353C">
              <w:rPr>
                <w:i/>
                <w:sz w:val="22"/>
                <w:szCs w:val="22"/>
              </w:rPr>
              <w:t>1 штука</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i/>
                <w:sz w:val="22"/>
                <w:szCs w:val="22"/>
              </w:rPr>
            </w:pPr>
            <w:r w:rsidRPr="00D6353C">
              <w:rPr>
                <w:i/>
                <w:sz w:val="22"/>
                <w:szCs w:val="22"/>
              </w:rPr>
              <w:t>1</w:t>
            </w:r>
          </w:p>
        </w:tc>
      </w:tr>
      <w:tr w:rsidR="001938C5" w:rsidRPr="001938C5" w:rsidTr="001938C5">
        <w:tblPrEx>
          <w:tblLook w:val="04A0"/>
        </w:tblPrEx>
        <w:trPr>
          <w:trHeight w:val="2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39</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rPr>
                <w:bCs/>
                <w:i/>
                <w:sz w:val="22"/>
                <w:szCs w:val="22"/>
              </w:rPr>
            </w:pPr>
            <w:r w:rsidRPr="00D6353C">
              <w:rPr>
                <w:bCs/>
                <w:i/>
                <w:sz w:val="22"/>
                <w:szCs w:val="22"/>
              </w:rPr>
              <w:t>Комплект автоматики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C5" w:rsidRPr="00D6353C" w:rsidRDefault="001938C5" w:rsidP="00E76D03">
            <w:pPr>
              <w:jc w:val="center"/>
              <w:rPr>
                <w:bCs/>
                <w:i/>
                <w:sz w:val="22"/>
                <w:szCs w:val="22"/>
              </w:rPr>
            </w:pPr>
            <w:r w:rsidRPr="00D6353C">
              <w:rPr>
                <w:bCs/>
                <w:i/>
                <w:sz w:val="22"/>
                <w:szCs w:val="22"/>
              </w:rPr>
              <w:t>штука</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1</w:t>
            </w:r>
          </w:p>
        </w:tc>
      </w:tr>
      <w:tr w:rsidR="001938C5" w:rsidRPr="001938C5" w:rsidTr="001938C5">
        <w:tblPrEx>
          <w:tblLook w:val="04A0"/>
        </w:tblPrEx>
        <w:trPr>
          <w:trHeight w:val="2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41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1938C5" w:rsidRPr="00D6353C" w:rsidRDefault="001938C5" w:rsidP="00E76D03">
            <w:pPr>
              <w:rPr>
                <w:bCs/>
                <w:i/>
                <w:sz w:val="22"/>
                <w:szCs w:val="22"/>
              </w:rPr>
            </w:pPr>
            <w:r w:rsidRPr="00D6353C">
              <w:rPr>
                <w:bCs/>
                <w:i/>
                <w:sz w:val="22"/>
                <w:szCs w:val="22"/>
              </w:rPr>
              <w:t>Дополнительное оборудование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38C5" w:rsidRPr="00D6353C" w:rsidRDefault="001938C5" w:rsidP="00E76D03">
            <w:pPr>
              <w:jc w:val="center"/>
              <w:rPr>
                <w:bCs/>
                <w:i/>
                <w:sz w:val="22"/>
                <w:szCs w:val="22"/>
              </w:rPr>
            </w:pPr>
            <w:r w:rsidRPr="00D6353C">
              <w:rPr>
                <w:bCs/>
                <w:i/>
                <w:sz w:val="22"/>
                <w:szCs w:val="22"/>
              </w:rPr>
              <w:t>штука</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1938C5" w:rsidRPr="00D6353C" w:rsidRDefault="001938C5" w:rsidP="00E76D03">
            <w:pPr>
              <w:jc w:val="center"/>
              <w:rPr>
                <w:bCs/>
                <w:i/>
                <w:sz w:val="22"/>
                <w:szCs w:val="22"/>
              </w:rPr>
            </w:pPr>
            <w:r w:rsidRPr="00D6353C">
              <w:rPr>
                <w:bCs/>
                <w:i/>
                <w:sz w:val="22"/>
                <w:szCs w:val="22"/>
              </w:rPr>
              <w:t>1</w:t>
            </w:r>
          </w:p>
        </w:tc>
      </w:tr>
    </w:tbl>
    <w:p w:rsidR="0088404F" w:rsidRDefault="0088404F" w:rsidP="008D565E">
      <w:pPr>
        <w:autoSpaceDE w:val="0"/>
        <w:autoSpaceDN w:val="0"/>
        <w:adjustRightInd w:val="0"/>
        <w:ind w:firstLine="709"/>
        <w:jc w:val="both"/>
        <w:outlineLvl w:val="1"/>
        <w:rPr>
          <w:sz w:val="22"/>
          <w:szCs w:val="22"/>
        </w:rPr>
      </w:pPr>
    </w:p>
    <w:p w:rsidR="0088404F" w:rsidRDefault="001938C5" w:rsidP="008D565E">
      <w:pPr>
        <w:autoSpaceDE w:val="0"/>
        <w:autoSpaceDN w:val="0"/>
        <w:adjustRightInd w:val="0"/>
        <w:ind w:firstLine="709"/>
        <w:jc w:val="both"/>
        <w:outlineLvl w:val="1"/>
        <w:rPr>
          <w:sz w:val="22"/>
          <w:szCs w:val="22"/>
        </w:rPr>
      </w:pPr>
      <w:r>
        <w:rPr>
          <w:sz w:val="22"/>
          <w:szCs w:val="22"/>
        </w:rPr>
        <w:t xml:space="preserve">На основании изложенного, Комиссия считает, что </w:t>
      </w:r>
      <w:r w:rsidR="00AC30B3">
        <w:rPr>
          <w:sz w:val="22"/>
          <w:szCs w:val="22"/>
        </w:rPr>
        <w:t>указанные</w:t>
      </w:r>
      <w:r>
        <w:rPr>
          <w:sz w:val="22"/>
          <w:szCs w:val="22"/>
        </w:rPr>
        <w:t xml:space="preserve"> действия Заказчика приводят к нарушению требований пункта 1 части 4 статьи 41.6 Федерального закона «О размещения заказов».</w:t>
      </w:r>
    </w:p>
    <w:p w:rsidR="001938C5" w:rsidRDefault="001938C5" w:rsidP="008D565E">
      <w:pPr>
        <w:autoSpaceDE w:val="0"/>
        <w:autoSpaceDN w:val="0"/>
        <w:adjustRightInd w:val="0"/>
        <w:ind w:firstLine="709"/>
        <w:jc w:val="both"/>
        <w:outlineLvl w:val="1"/>
        <w:rPr>
          <w:sz w:val="22"/>
          <w:szCs w:val="22"/>
        </w:rPr>
      </w:pPr>
    </w:p>
    <w:p w:rsidR="001938C5" w:rsidRPr="005407F0" w:rsidRDefault="001938C5" w:rsidP="001938C5">
      <w:pPr>
        <w:widowControl w:val="0"/>
        <w:autoSpaceDE w:val="0"/>
        <w:autoSpaceDN w:val="0"/>
        <w:adjustRightInd w:val="0"/>
        <w:ind w:firstLine="709"/>
        <w:jc w:val="both"/>
        <w:rPr>
          <w:sz w:val="22"/>
          <w:szCs w:val="22"/>
        </w:rPr>
      </w:pPr>
      <w:r w:rsidRPr="005407F0">
        <w:rPr>
          <w:b/>
          <w:sz w:val="22"/>
          <w:szCs w:val="22"/>
        </w:rPr>
        <w:t>3.3.</w:t>
      </w:r>
      <w:r w:rsidRPr="005407F0">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Так, в соответствии с частью 8 статьи 9 Федерального закона «О размещении заказов» </w:t>
      </w:r>
      <w:r w:rsidRPr="005407F0">
        <w:rPr>
          <w:b/>
          <w:sz w:val="22"/>
          <w:szCs w:val="22"/>
        </w:rPr>
        <w:t>расторжение контракта допускается</w:t>
      </w:r>
      <w:r w:rsidRPr="005407F0">
        <w:rPr>
          <w:sz w:val="22"/>
          <w:szCs w:val="22"/>
        </w:rPr>
        <w:t xml:space="preserve"> по соглашению сторон, по решению суда или </w:t>
      </w:r>
      <w:r w:rsidRPr="005407F0">
        <w:rPr>
          <w:b/>
          <w:sz w:val="22"/>
          <w:szCs w:val="22"/>
        </w:rPr>
        <w:t xml:space="preserve">в связи с односторонним отказом стороны контракта от исполнения контракта в соответствии с гражданским </w:t>
      </w:r>
      <w:hyperlink r:id="rId14" w:history="1">
        <w:r w:rsidRPr="005407F0">
          <w:rPr>
            <w:b/>
            <w:sz w:val="22"/>
            <w:szCs w:val="22"/>
          </w:rPr>
          <w:t>законодательством</w:t>
        </w:r>
      </w:hyperlink>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Пунктом 13 части 3 статьи 41.6 Федерального закона «О размещении заказов» установлено, что </w:t>
      </w:r>
      <w:r w:rsidRPr="005407F0">
        <w:rPr>
          <w:b/>
          <w:sz w:val="22"/>
          <w:szCs w:val="22"/>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Проанализировав положения документации об открытом аукционе, в том числе непосредственно сам проект </w:t>
      </w:r>
      <w:r w:rsidR="00680578">
        <w:rPr>
          <w:sz w:val="22"/>
          <w:szCs w:val="22"/>
        </w:rPr>
        <w:t>договора</w:t>
      </w:r>
      <w:r w:rsidRPr="005407F0">
        <w:rPr>
          <w:sz w:val="22"/>
          <w:szCs w:val="22"/>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w:t>
      </w:r>
      <w:r>
        <w:rPr>
          <w:sz w:val="22"/>
          <w:szCs w:val="22"/>
        </w:rPr>
        <w:t>, разработанная и утвержденная З</w:t>
      </w:r>
      <w:r w:rsidRPr="005407F0">
        <w:rPr>
          <w:sz w:val="22"/>
          <w:szCs w:val="22"/>
        </w:rPr>
        <w:t>аказчиком документация об открытом</w:t>
      </w:r>
      <w:r>
        <w:rPr>
          <w:sz w:val="22"/>
          <w:szCs w:val="22"/>
        </w:rPr>
        <w:t xml:space="preserve"> аукционе</w:t>
      </w:r>
      <w:r w:rsidRPr="005407F0">
        <w:rPr>
          <w:sz w:val="22"/>
          <w:szCs w:val="22"/>
        </w:rPr>
        <w:t xml:space="preserve"> не содержит </w:t>
      </w:r>
      <w:r w:rsidR="00AC30B3">
        <w:rPr>
          <w:sz w:val="22"/>
          <w:szCs w:val="22"/>
        </w:rPr>
        <w:t xml:space="preserve">установленных данной нормой </w:t>
      </w:r>
      <w:r w:rsidRPr="005407F0">
        <w:rPr>
          <w:sz w:val="22"/>
          <w:szCs w:val="22"/>
        </w:rPr>
        <w:t>сведений.</w:t>
      </w:r>
    </w:p>
    <w:p w:rsidR="00AC30B3" w:rsidRDefault="00AC30B3" w:rsidP="008D565E">
      <w:pPr>
        <w:autoSpaceDE w:val="0"/>
        <w:autoSpaceDN w:val="0"/>
        <w:adjustRightInd w:val="0"/>
        <w:ind w:firstLine="709"/>
        <w:jc w:val="both"/>
        <w:outlineLvl w:val="1"/>
        <w:rPr>
          <w:sz w:val="22"/>
          <w:szCs w:val="22"/>
        </w:rPr>
      </w:pPr>
    </w:p>
    <w:p w:rsidR="00BF2588" w:rsidRPr="007A024D" w:rsidRDefault="009D12F3" w:rsidP="008D565E">
      <w:pPr>
        <w:autoSpaceDE w:val="0"/>
        <w:autoSpaceDN w:val="0"/>
        <w:adjustRightInd w:val="0"/>
        <w:ind w:firstLine="709"/>
        <w:jc w:val="both"/>
        <w:outlineLvl w:val="1"/>
        <w:rPr>
          <w:sz w:val="22"/>
          <w:szCs w:val="22"/>
        </w:rPr>
      </w:pPr>
      <w:r w:rsidRPr="007A024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w:t>
      </w:r>
      <w:r w:rsidRPr="007A024D">
        <w:rPr>
          <w:sz w:val="22"/>
          <w:szCs w:val="22"/>
        </w:rPr>
        <w:lastRenderedPageBreak/>
        <w:t xml:space="preserve">зарегистрированного в Минюсте РФ 21.03.2011 № 20204, </w:t>
      </w:r>
      <w:r w:rsidR="00BF2588" w:rsidRPr="007A024D">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7A024D" w:rsidRDefault="00274F5D" w:rsidP="002F45ED">
      <w:pPr>
        <w:jc w:val="center"/>
        <w:rPr>
          <w:sz w:val="22"/>
          <w:szCs w:val="22"/>
        </w:rPr>
      </w:pPr>
    </w:p>
    <w:p w:rsidR="009B3753" w:rsidRPr="007A024D" w:rsidRDefault="009B3753" w:rsidP="002F45ED">
      <w:pPr>
        <w:jc w:val="center"/>
        <w:rPr>
          <w:sz w:val="22"/>
          <w:szCs w:val="22"/>
        </w:rPr>
      </w:pPr>
      <w:r w:rsidRPr="007A024D">
        <w:rPr>
          <w:sz w:val="22"/>
          <w:szCs w:val="22"/>
        </w:rPr>
        <w:t>Р Е Ш И Л А:</w:t>
      </w:r>
    </w:p>
    <w:p w:rsidR="009B3753" w:rsidRPr="007A024D" w:rsidRDefault="009B3753" w:rsidP="00982E58">
      <w:pPr>
        <w:tabs>
          <w:tab w:val="left" w:pos="-1820"/>
          <w:tab w:val="left" w:pos="-1400"/>
          <w:tab w:val="left" w:pos="700"/>
        </w:tabs>
        <w:ind w:firstLine="709"/>
        <w:jc w:val="both"/>
        <w:rPr>
          <w:b/>
          <w:sz w:val="22"/>
          <w:szCs w:val="22"/>
        </w:rPr>
      </w:pPr>
    </w:p>
    <w:p w:rsidR="00AC30B3" w:rsidRDefault="007071E0" w:rsidP="007018DD">
      <w:pPr>
        <w:tabs>
          <w:tab w:val="left" w:pos="763"/>
        </w:tabs>
        <w:ind w:firstLine="709"/>
        <w:jc w:val="both"/>
        <w:rPr>
          <w:sz w:val="22"/>
          <w:szCs w:val="22"/>
        </w:rPr>
      </w:pPr>
      <w:r w:rsidRPr="007A024D">
        <w:rPr>
          <w:b/>
          <w:sz w:val="22"/>
          <w:szCs w:val="22"/>
        </w:rPr>
        <w:t>1.</w:t>
      </w:r>
      <w:r w:rsidRPr="007A024D">
        <w:rPr>
          <w:sz w:val="22"/>
          <w:szCs w:val="22"/>
        </w:rPr>
        <w:t xml:space="preserve"> </w:t>
      </w:r>
      <w:r w:rsidR="007335C3" w:rsidRPr="007A024D">
        <w:rPr>
          <w:sz w:val="22"/>
          <w:szCs w:val="22"/>
        </w:rPr>
        <w:t>Признать</w:t>
      </w:r>
      <w:r w:rsidR="007335C3" w:rsidRPr="007A024D">
        <w:rPr>
          <w:b/>
          <w:sz w:val="22"/>
          <w:szCs w:val="22"/>
        </w:rPr>
        <w:t xml:space="preserve"> обоснованной</w:t>
      </w:r>
      <w:r w:rsidR="007335C3" w:rsidRPr="007A024D">
        <w:rPr>
          <w:sz w:val="22"/>
          <w:szCs w:val="22"/>
        </w:rPr>
        <w:t xml:space="preserve"> </w:t>
      </w:r>
      <w:r w:rsidR="007335C3" w:rsidRPr="007A024D">
        <w:rPr>
          <w:bCs/>
          <w:sz w:val="22"/>
          <w:szCs w:val="22"/>
        </w:rPr>
        <w:t>жалобу</w:t>
      </w:r>
      <w:r w:rsidR="007335C3" w:rsidRPr="007A024D">
        <w:rPr>
          <w:sz w:val="22"/>
          <w:szCs w:val="22"/>
        </w:rPr>
        <w:t xml:space="preserve"> </w:t>
      </w:r>
      <w:r w:rsidR="00AC30B3" w:rsidRPr="002515CA">
        <w:rPr>
          <w:sz w:val="22"/>
          <w:szCs w:val="22"/>
        </w:rPr>
        <w:t xml:space="preserve">ООО «Инновационные технологии климатических систем» на действия </w:t>
      </w:r>
      <w:r w:rsidR="00D6353C" w:rsidRPr="007A024D">
        <w:rPr>
          <w:sz w:val="22"/>
          <w:szCs w:val="22"/>
        </w:rPr>
        <w:t>БУЗОО</w:t>
      </w:r>
      <w:r w:rsidR="00D6353C" w:rsidRPr="002515CA">
        <w:rPr>
          <w:sz w:val="22"/>
          <w:szCs w:val="22"/>
        </w:rPr>
        <w:t xml:space="preserve"> </w:t>
      </w:r>
      <w:r w:rsidR="00AC30B3" w:rsidRPr="002515CA">
        <w:rPr>
          <w:sz w:val="22"/>
          <w:szCs w:val="22"/>
        </w:rPr>
        <w:t>«Клинический медико-хирургический центр Министерства здравоохранения Омской области»</w:t>
      </w:r>
      <w:r w:rsidR="00AC30B3">
        <w:rPr>
          <w:sz w:val="22"/>
          <w:szCs w:val="22"/>
        </w:rPr>
        <w:t xml:space="preserve"> </w:t>
      </w:r>
      <w:r w:rsidR="00AC30B3" w:rsidRPr="002515CA">
        <w:rPr>
          <w:sz w:val="22"/>
          <w:szCs w:val="22"/>
        </w:rPr>
        <w:t xml:space="preserve">при проведении открытого аукциона в электронной форме </w:t>
      </w:r>
      <w:r w:rsidR="00AC30B3" w:rsidRPr="002515CA">
        <w:rPr>
          <w:rStyle w:val="iceouttxt1"/>
          <w:rFonts w:ascii="Times New Roman" w:hAnsi="Times New Roman" w:cs="Times New Roman"/>
          <w:color w:val="auto"/>
          <w:sz w:val="22"/>
          <w:szCs w:val="22"/>
        </w:rPr>
        <w:t>н</w:t>
      </w:r>
      <w:r w:rsidR="00AC30B3" w:rsidRPr="002515CA">
        <w:rPr>
          <w:sz w:val="22"/>
          <w:szCs w:val="22"/>
        </w:rPr>
        <w:t>а право заключения договора на выполнение работ по капитальному ремонту приточно-вытяжной вентиляции операционного блока хирургического отделения № 3 БУЗОО «КМХЦ МЗОО»</w:t>
      </w:r>
      <w:r w:rsidR="00AC30B3">
        <w:rPr>
          <w:sz w:val="22"/>
          <w:szCs w:val="22"/>
        </w:rPr>
        <w:t>.</w:t>
      </w:r>
    </w:p>
    <w:p w:rsidR="002314EF" w:rsidRPr="007A024D" w:rsidRDefault="002314EF" w:rsidP="00982E58">
      <w:pPr>
        <w:ind w:firstLine="709"/>
        <w:jc w:val="both"/>
        <w:rPr>
          <w:snapToGrid w:val="0"/>
          <w:sz w:val="22"/>
          <w:szCs w:val="22"/>
        </w:rPr>
      </w:pPr>
    </w:p>
    <w:p w:rsidR="007071E0" w:rsidRPr="007A024D" w:rsidRDefault="007071E0" w:rsidP="007071E0">
      <w:pPr>
        <w:autoSpaceDE w:val="0"/>
        <w:autoSpaceDN w:val="0"/>
        <w:adjustRightInd w:val="0"/>
        <w:ind w:firstLine="709"/>
        <w:jc w:val="both"/>
        <w:rPr>
          <w:sz w:val="22"/>
          <w:szCs w:val="22"/>
        </w:rPr>
      </w:pPr>
      <w:r w:rsidRPr="007A024D">
        <w:rPr>
          <w:b/>
          <w:sz w:val="22"/>
          <w:szCs w:val="22"/>
        </w:rPr>
        <w:t>2.</w:t>
      </w:r>
      <w:r w:rsidRPr="007A024D">
        <w:rPr>
          <w:sz w:val="22"/>
          <w:szCs w:val="22"/>
        </w:rPr>
        <w:t xml:space="preserve"> Признать в действиях </w:t>
      </w:r>
      <w:r w:rsidR="00FB5C88" w:rsidRPr="007A024D">
        <w:rPr>
          <w:sz w:val="22"/>
          <w:szCs w:val="22"/>
        </w:rPr>
        <w:t xml:space="preserve">БУЗОО «Клинический медико-хирургический центр Министерства здравоохранения Омской области» </w:t>
      </w:r>
      <w:r w:rsidRPr="007A024D">
        <w:rPr>
          <w:sz w:val="22"/>
          <w:szCs w:val="22"/>
        </w:rPr>
        <w:t xml:space="preserve">нарушение требований части </w:t>
      </w:r>
      <w:r w:rsidR="00FB5C88" w:rsidRPr="007A024D">
        <w:rPr>
          <w:sz w:val="22"/>
          <w:szCs w:val="22"/>
        </w:rPr>
        <w:t>3</w:t>
      </w:r>
      <w:r w:rsidRPr="007A024D">
        <w:rPr>
          <w:sz w:val="22"/>
          <w:szCs w:val="22"/>
        </w:rPr>
        <w:t xml:space="preserve"> статьи </w:t>
      </w:r>
      <w:r w:rsidR="00FB5C88" w:rsidRPr="007A024D">
        <w:rPr>
          <w:sz w:val="22"/>
          <w:szCs w:val="22"/>
        </w:rPr>
        <w:t>34</w:t>
      </w:r>
      <w:r w:rsidR="00E14712" w:rsidRPr="007A024D">
        <w:rPr>
          <w:sz w:val="22"/>
          <w:szCs w:val="22"/>
        </w:rPr>
        <w:t xml:space="preserve">, части </w:t>
      </w:r>
      <w:r w:rsidR="00FB5C88" w:rsidRPr="007A024D">
        <w:rPr>
          <w:sz w:val="22"/>
          <w:szCs w:val="22"/>
        </w:rPr>
        <w:t>1</w:t>
      </w:r>
      <w:r w:rsidR="00AC30B3">
        <w:rPr>
          <w:sz w:val="22"/>
          <w:szCs w:val="22"/>
        </w:rPr>
        <w:t>, пункта 13 части 3, пункта 1 части 4</w:t>
      </w:r>
      <w:r w:rsidR="00E14712" w:rsidRPr="007A024D">
        <w:rPr>
          <w:sz w:val="22"/>
          <w:szCs w:val="22"/>
        </w:rPr>
        <w:t xml:space="preserve"> статьи 41.6</w:t>
      </w:r>
      <w:r w:rsidRPr="007A024D">
        <w:rPr>
          <w:sz w:val="22"/>
          <w:szCs w:val="22"/>
        </w:rPr>
        <w:t xml:space="preserve"> Федерального закона «О размещении заказов»</w:t>
      </w:r>
      <w:r w:rsidRPr="007A024D">
        <w:rPr>
          <w:iCs/>
          <w:sz w:val="22"/>
          <w:szCs w:val="22"/>
        </w:rPr>
        <w:t>.</w:t>
      </w:r>
    </w:p>
    <w:p w:rsidR="007071E0" w:rsidRPr="007A024D" w:rsidRDefault="007071E0" w:rsidP="007071E0">
      <w:pPr>
        <w:ind w:firstLine="709"/>
        <w:jc w:val="both"/>
        <w:rPr>
          <w:b/>
          <w:sz w:val="22"/>
          <w:szCs w:val="22"/>
        </w:rPr>
      </w:pPr>
    </w:p>
    <w:p w:rsidR="007071E0" w:rsidRPr="007A024D" w:rsidRDefault="007071E0" w:rsidP="007071E0">
      <w:pPr>
        <w:ind w:firstLine="709"/>
        <w:jc w:val="both"/>
        <w:rPr>
          <w:snapToGrid w:val="0"/>
          <w:sz w:val="22"/>
          <w:szCs w:val="22"/>
        </w:rPr>
      </w:pPr>
      <w:r w:rsidRPr="007A024D">
        <w:rPr>
          <w:b/>
          <w:sz w:val="22"/>
          <w:szCs w:val="22"/>
        </w:rPr>
        <w:t xml:space="preserve">3. </w:t>
      </w:r>
      <w:r w:rsidRPr="007A024D">
        <w:rPr>
          <w:sz w:val="22"/>
          <w:szCs w:val="22"/>
        </w:rPr>
        <w:t>В соответствии с частью 9 статьи 17 Федерального закона «О размещении заказо</w:t>
      </w:r>
      <w:r w:rsidR="004540E7" w:rsidRPr="007A024D">
        <w:rPr>
          <w:sz w:val="22"/>
          <w:szCs w:val="22"/>
        </w:rPr>
        <w:t xml:space="preserve">в» выдать </w:t>
      </w:r>
      <w:r w:rsidR="00FB5C88" w:rsidRPr="007A024D">
        <w:rPr>
          <w:sz w:val="22"/>
          <w:szCs w:val="22"/>
        </w:rPr>
        <w:t xml:space="preserve">БУЗОО «Клинический медико-хирургический центр Министерства здравоохранения Омской области» </w:t>
      </w:r>
      <w:r w:rsidRPr="007A024D">
        <w:rPr>
          <w:sz w:val="22"/>
          <w:szCs w:val="22"/>
        </w:rPr>
        <w:t xml:space="preserve">предписание </w:t>
      </w:r>
      <w:r w:rsidRPr="007A024D">
        <w:rPr>
          <w:snapToGrid w:val="0"/>
          <w:sz w:val="22"/>
          <w:szCs w:val="22"/>
        </w:rPr>
        <w:t xml:space="preserve">об устранении нарушений законодательства о размещении заказов. </w:t>
      </w:r>
    </w:p>
    <w:p w:rsidR="007071E0" w:rsidRPr="007A024D" w:rsidRDefault="007071E0" w:rsidP="00982E58">
      <w:pPr>
        <w:ind w:firstLine="709"/>
        <w:jc w:val="both"/>
        <w:rPr>
          <w:sz w:val="22"/>
          <w:szCs w:val="22"/>
        </w:rPr>
      </w:pPr>
    </w:p>
    <w:p w:rsidR="009B3753" w:rsidRPr="007A024D" w:rsidRDefault="009B3753" w:rsidP="00982E58">
      <w:pPr>
        <w:ind w:firstLine="709"/>
        <w:jc w:val="both"/>
        <w:rPr>
          <w:sz w:val="22"/>
          <w:szCs w:val="22"/>
        </w:rPr>
      </w:pPr>
      <w:r w:rsidRPr="007A024D">
        <w:rPr>
          <w:sz w:val="22"/>
          <w:szCs w:val="22"/>
        </w:rPr>
        <w:t>Настоящее решение может быть обжаловано в судебном порядке в течение трех месяцев со дня его принятия.</w:t>
      </w:r>
    </w:p>
    <w:p w:rsidR="00C71CFC" w:rsidRPr="007A024D" w:rsidRDefault="00C71CFC" w:rsidP="008547C5">
      <w:pPr>
        <w:jc w:val="both"/>
        <w:rPr>
          <w:sz w:val="22"/>
          <w:szCs w:val="22"/>
        </w:rPr>
      </w:pPr>
    </w:p>
    <w:tbl>
      <w:tblPr>
        <w:tblW w:w="0" w:type="auto"/>
        <w:tblLook w:val="01E0"/>
      </w:tblPr>
      <w:tblGrid>
        <w:gridCol w:w="5211"/>
        <w:gridCol w:w="5211"/>
      </w:tblGrid>
      <w:tr w:rsidR="003F3F18" w:rsidRPr="007A024D" w:rsidTr="00154A8F">
        <w:trPr>
          <w:trHeight w:hRule="exact" w:val="484"/>
        </w:trPr>
        <w:tc>
          <w:tcPr>
            <w:tcW w:w="5211" w:type="dxa"/>
          </w:tcPr>
          <w:p w:rsidR="003F3F18" w:rsidRPr="007A024D" w:rsidRDefault="00712654" w:rsidP="008547C5">
            <w:pPr>
              <w:spacing w:after="60" w:line="360" w:lineRule="auto"/>
              <w:rPr>
                <w:sz w:val="22"/>
                <w:szCs w:val="22"/>
              </w:rPr>
            </w:pPr>
            <w:r w:rsidRPr="007A024D">
              <w:rPr>
                <w:sz w:val="22"/>
                <w:szCs w:val="22"/>
              </w:rPr>
              <w:t xml:space="preserve">Заместитель </w:t>
            </w:r>
            <w:r w:rsidR="003F3F18" w:rsidRPr="007A024D">
              <w:rPr>
                <w:sz w:val="22"/>
                <w:szCs w:val="22"/>
              </w:rPr>
              <w:t>Председател</w:t>
            </w:r>
            <w:r w:rsidRPr="007A024D">
              <w:rPr>
                <w:sz w:val="22"/>
                <w:szCs w:val="22"/>
              </w:rPr>
              <w:t>я</w:t>
            </w:r>
            <w:r w:rsidR="003F3F18" w:rsidRPr="007A024D">
              <w:rPr>
                <w:sz w:val="22"/>
                <w:szCs w:val="22"/>
              </w:rPr>
              <w:t xml:space="preserve"> Комиссии</w:t>
            </w: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tc>
        <w:tc>
          <w:tcPr>
            <w:tcW w:w="5211" w:type="dxa"/>
          </w:tcPr>
          <w:p w:rsidR="003F3F18" w:rsidRPr="007A024D" w:rsidRDefault="00712654" w:rsidP="008547C5">
            <w:pPr>
              <w:spacing w:after="60" w:line="360" w:lineRule="auto"/>
              <w:jc w:val="right"/>
              <w:rPr>
                <w:sz w:val="22"/>
                <w:szCs w:val="22"/>
              </w:rPr>
            </w:pPr>
            <w:r w:rsidRPr="007A024D">
              <w:rPr>
                <w:sz w:val="22"/>
                <w:szCs w:val="22"/>
              </w:rPr>
              <w:t>О.И.Иванченко</w:t>
            </w:r>
          </w:p>
          <w:p w:rsidR="00154A8F" w:rsidRPr="007A024D" w:rsidRDefault="00154A8F" w:rsidP="008547C5">
            <w:pPr>
              <w:spacing w:after="60" w:line="360" w:lineRule="auto"/>
              <w:jc w:val="right"/>
              <w:rPr>
                <w:sz w:val="22"/>
                <w:szCs w:val="22"/>
              </w:rPr>
            </w:pPr>
          </w:p>
          <w:p w:rsidR="00154A8F" w:rsidRPr="007A024D" w:rsidRDefault="00154A8F" w:rsidP="008547C5">
            <w:pPr>
              <w:spacing w:after="60" w:line="360" w:lineRule="auto"/>
              <w:jc w:val="right"/>
              <w:rPr>
                <w:sz w:val="22"/>
                <w:szCs w:val="22"/>
              </w:rPr>
            </w:pPr>
          </w:p>
        </w:tc>
      </w:tr>
      <w:tr w:rsidR="00FA2625" w:rsidRPr="007A024D" w:rsidTr="00154A8F">
        <w:trPr>
          <w:trHeight w:hRule="exact" w:val="425"/>
        </w:trPr>
        <w:tc>
          <w:tcPr>
            <w:tcW w:w="5211" w:type="dxa"/>
          </w:tcPr>
          <w:p w:rsidR="00FA2625" w:rsidRPr="007A024D" w:rsidRDefault="00C71CFC" w:rsidP="008547C5">
            <w:pPr>
              <w:spacing w:after="60" w:line="360" w:lineRule="auto"/>
              <w:rPr>
                <w:sz w:val="22"/>
                <w:szCs w:val="22"/>
              </w:rPr>
            </w:pPr>
            <w:r w:rsidRPr="007A024D">
              <w:rPr>
                <w:sz w:val="22"/>
                <w:szCs w:val="22"/>
              </w:rPr>
              <w:t>Члены Комиссии:</w:t>
            </w:r>
          </w:p>
        </w:tc>
        <w:tc>
          <w:tcPr>
            <w:tcW w:w="5211" w:type="dxa"/>
          </w:tcPr>
          <w:p w:rsidR="00FA2625" w:rsidRPr="007A024D" w:rsidRDefault="00FE27CC" w:rsidP="008547C5">
            <w:pPr>
              <w:spacing w:after="60" w:line="360" w:lineRule="auto"/>
              <w:jc w:val="right"/>
              <w:rPr>
                <w:sz w:val="22"/>
                <w:szCs w:val="22"/>
              </w:rPr>
            </w:pPr>
            <w:r w:rsidRPr="007A024D">
              <w:rPr>
                <w:sz w:val="22"/>
                <w:szCs w:val="22"/>
              </w:rPr>
              <w:t>А.Н Шевченко</w:t>
            </w:r>
          </w:p>
        </w:tc>
      </w:tr>
      <w:tr w:rsidR="00655564" w:rsidRPr="007A024D" w:rsidTr="00154A8F">
        <w:trPr>
          <w:trHeight w:hRule="exact" w:val="424"/>
        </w:trPr>
        <w:tc>
          <w:tcPr>
            <w:tcW w:w="5211" w:type="dxa"/>
          </w:tcPr>
          <w:p w:rsidR="00655564" w:rsidRPr="007A024D" w:rsidRDefault="00655564" w:rsidP="008547C5">
            <w:pPr>
              <w:spacing w:after="60" w:line="360" w:lineRule="auto"/>
              <w:rPr>
                <w:sz w:val="22"/>
                <w:szCs w:val="22"/>
              </w:rPr>
            </w:pPr>
          </w:p>
        </w:tc>
        <w:tc>
          <w:tcPr>
            <w:tcW w:w="5211" w:type="dxa"/>
          </w:tcPr>
          <w:p w:rsidR="00655564" w:rsidRPr="007A024D" w:rsidRDefault="00655564" w:rsidP="008547C5">
            <w:pPr>
              <w:spacing w:after="60" w:line="360" w:lineRule="auto"/>
              <w:jc w:val="right"/>
              <w:rPr>
                <w:sz w:val="22"/>
                <w:szCs w:val="22"/>
              </w:rPr>
            </w:pPr>
            <w:r w:rsidRPr="007A024D">
              <w:rPr>
                <w:sz w:val="22"/>
                <w:szCs w:val="22"/>
              </w:rPr>
              <w:t>А.В.Вормсбехер</w:t>
            </w:r>
          </w:p>
        </w:tc>
      </w:tr>
      <w:tr w:rsidR="004F5C0D" w:rsidRPr="007A024D" w:rsidTr="00154A8F">
        <w:trPr>
          <w:trHeight w:hRule="exact" w:val="424"/>
        </w:trPr>
        <w:tc>
          <w:tcPr>
            <w:tcW w:w="5211" w:type="dxa"/>
          </w:tcPr>
          <w:p w:rsidR="004F5C0D" w:rsidRPr="007A024D" w:rsidRDefault="004F5C0D" w:rsidP="008547C5">
            <w:pPr>
              <w:spacing w:after="60" w:line="360" w:lineRule="auto"/>
              <w:rPr>
                <w:sz w:val="22"/>
                <w:szCs w:val="22"/>
              </w:rPr>
            </w:pPr>
          </w:p>
        </w:tc>
        <w:tc>
          <w:tcPr>
            <w:tcW w:w="5211" w:type="dxa"/>
          </w:tcPr>
          <w:p w:rsidR="004F5C0D" w:rsidRPr="007A024D" w:rsidRDefault="00712654" w:rsidP="00712654">
            <w:pPr>
              <w:spacing w:after="60" w:line="360" w:lineRule="auto"/>
              <w:jc w:val="right"/>
              <w:rPr>
                <w:sz w:val="22"/>
                <w:szCs w:val="22"/>
              </w:rPr>
            </w:pPr>
            <w:r w:rsidRPr="007A024D">
              <w:rPr>
                <w:sz w:val="22"/>
                <w:szCs w:val="22"/>
              </w:rPr>
              <w:t>А.П.Алексина</w:t>
            </w:r>
          </w:p>
        </w:tc>
      </w:tr>
    </w:tbl>
    <w:p w:rsidR="00782B70" w:rsidRPr="007A024D" w:rsidRDefault="00782B70" w:rsidP="00C60CF1">
      <w:pPr>
        <w:jc w:val="both"/>
        <w:rPr>
          <w:sz w:val="22"/>
          <w:szCs w:val="22"/>
        </w:rPr>
      </w:pPr>
    </w:p>
    <w:sectPr w:rsidR="00782B70" w:rsidRPr="007A024D" w:rsidSect="001E58C0">
      <w:headerReference w:type="even" r:id="rId15"/>
      <w:headerReference w:type="default" r:id="rId16"/>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AE7" w:rsidRDefault="001D3AE7">
      <w:r>
        <w:separator/>
      </w:r>
    </w:p>
  </w:endnote>
  <w:endnote w:type="continuationSeparator" w:id="1">
    <w:p w:rsidR="001D3AE7" w:rsidRDefault="001D3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AE7" w:rsidRDefault="001D3AE7">
      <w:r>
        <w:separator/>
      </w:r>
    </w:p>
  </w:footnote>
  <w:footnote w:type="continuationSeparator" w:id="1">
    <w:p w:rsidR="001D3AE7" w:rsidRDefault="001D3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634E4D" w:rsidP="008E7D00">
    <w:pPr>
      <w:pStyle w:val="ab"/>
      <w:framePr w:wrap="around" w:vAnchor="text" w:hAnchor="margin" w:xAlign="center" w:y="1"/>
      <w:rPr>
        <w:rStyle w:val="ac"/>
      </w:rPr>
    </w:pPr>
    <w:r>
      <w:rPr>
        <w:rStyle w:val="ac"/>
      </w:rPr>
      <w:fldChar w:fldCharType="begin"/>
    </w:r>
    <w:r w:rsidR="00001B03">
      <w:rPr>
        <w:rStyle w:val="ac"/>
      </w:rPr>
      <w:instrText xml:space="preserve">PAGE  </w:instrText>
    </w:r>
    <w:r>
      <w:rPr>
        <w:rStyle w:val="ac"/>
      </w:rPr>
      <w:fldChar w:fldCharType="end"/>
    </w:r>
  </w:p>
  <w:p w:rsidR="00001B03" w:rsidRDefault="00001B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634E4D" w:rsidP="008E7D00">
    <w:pPr>
      <w:pStyle w:val="ab"/>
      <w:framePr w:wrap="around" w:vAnchor="text" w:hAnchor="page" w:x="6202" w:y="361"/>
      <w:rPr>
        <w:rStyle w:val="ac"/>
      </w:rPr>
    </w:pPr>
    <w:r>
      <w:rPr>
        <w:rStyle w:val="ac"/>
      </w:rPr>
      <w:fldChar w:fldCharType="begin"/>
    </w:r>
    <w:r w:rsidR="00001B03">
      <w:rPr>
        <w:rStyle w:val="ac"/>
      </w:rPr>
      <w:instrText xml:space="preserve">PAGE  </w:instrText>
    </w:r>
    <w:r>
      <w:rPr>
        <w:rStyle w:val="ac"/>
      </w:rPr>
      <w:fldChar w:fldCharType="separate"/>
    </w:r>
    <w:r w:rsidR="00D80B43">
      <w:rPr>
        <w:rStyle w:val="ac"/>
        <w:noProof/>
      </w:rPr>
      <w:t>4</w:t>
    </w:r>
    <w:r>
      <w:rPr>
        <w:rStyle w:val="ac"/>
      </w:rPr>
      <w:fldChar w:fldCharType="end"/>
    </w:r>
  </w:p>
  <w:p w:rsidR="00001B03" w:rsidRDefault="00001B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0C6F"/>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8C5"/>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3AE7"/>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5CA"/>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0D5"/>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233"/>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02A8"/>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05F"/>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27477"/>
    <w:rsid w:val="00631CE8"/>
    <w:rsid w:val="00633164"/>
    <w:rsid w:val="00633D75"/>
    <w:rsid w:val="0063411F"/>
    <w:rsid w:val="00634E4D"/>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578"/>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6DDF"/>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04F"/>
    <w:rsid w:val="0088460D"/>
    <w:rsid w:val="008873F6"/>
    <w:rsid w:val="0088746E"/>
    <w:rsid w:val="008905DF"/>
    <w:rsid w:val="008906D5"/>
    <w:rsid w:val="00890E2E"/>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12"/>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4F59"/>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0B3"/>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4407"/>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353C"/>
    <w:rsid w:val="00D66553"/>
    <w:rsid w:val="00D667B7"/>
    <w:rsid w:val="00D67ED8"/>
    <w:rsid w:val="00D67F59"/>
    <w:rsid w:val="00D708BF"/>
    <w:rsid w:val="00D71FB2"/>
    <w:rsid w:val="00D7226C"/>
    <w:rsid w:val="00D72521"/>
    <w:rsid w:val="00D72CE3"/>
    <w:rsid w:val="00D75228"/>
    <w:rsid w:val="00D80B43"/>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615"/>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2F0F"/>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87F8C"/>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1C1EEFC4E80E0F089AB3D64E577069E5A4A3EC3F3348731C29937740C7EE5B92660091D314D6CCADBu0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2F49567D4B360C6FEA679070694326D848FEE6E905BF8E1B3A115DCF9961952246AE33E37DD054q0s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2F49567D4B360C6FEA679070694326D848FEE6E905BF8E1B3A115DCF9961952246AE33EAq7sB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C2F49567D4B360C6FEA679070694326D848FEE6E905BF8E1B3A115DCF9961952246AE33EBq7sBH" TargetMode="External"/><Relationship Id="rId4" Type="http://schemas.openxmlformats.org/officeDocument/2006/relationships/settings" Target="settings.xml"/><Relationship Id="rId9" Type="http://schemas.openxmlformats.org/officeDocument/2006/relationships/hyperlink" Target="consultantplus://offline/ref=5C2F49567D4B360C6FEA679070694326D848FEE6E905BF8E1B3A115DCF9961952246AE33E37DD055q0s0H" TargetMode="External"/><Relationship Id="rId14" Type="http://schemas.openxmlformats.org/officeDocument/2006/relationships/hyperlink" Target="consultantplus://offline/ref=237A2A97DC08B7B8EC1D13CBD9EE3662D259CBD7A694D28E26730F86C9362A368CFB928D157955F76Dm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9757-4E12-4DCF-A854-5185574D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13676</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2013-07-16T08:10:00Z</cp:lastPrinted>
  <dcterms:created xsi:type="dcterms:W3CDTF">2013-07-16T08:11:00Z</dcterms:created>
  <dcterms:modified xsi:type="dcterms:W3CDTF">2013-07-16T08:11:00Z</dcterms:modified>
</cp:coreProperties>
</file>