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A5" w:rsidRPr="005A14A5" w:rsidRDefault="005A14A5" w:rsidP="005A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60" w:dyaOrig="2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9.4pt" o:ole="">
            <v:imagedata r:id="rId5" o:title=""/>
          </v:shape>
          <o:OLEObject Type="Embed" ProgID="PBrush" ShapeID="_x0000_i1025" DrawAspect="Content" ObjectID="_1569921074" r:id="rId6"/>
        </w:object>
      </w:r>
    </w:p>
    <w:p w:rsidR="005A14A5" w:rsidRPr="005A14A5" w:rsidRDefault="005A14A5" w:rsidP="005A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5" w:rsidRPr="005A14A5" w:rsidRDefault="005A14A5" w:rsidP="005A1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  <w:r w:rsidRPr="005A1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56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5A1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жт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5A1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56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A1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.10.2017</w:t>
      </w:r>
    </w:p>
    <w:p w:rsidR="005A14A5" w:rsidRPr="005A14A5" w:rsidRDefault="005A14A5" w:rsidP="005A1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4A5" w:rsidRPr="005A14A5" w:rsidRDefault="005A14A5" w:rsidP="005A14A5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Куда:</w:t>
      </w:r>
    </w:p>
    <w:p w:rsidR="005A14A5" w:rsidRPr="00756B79" w:rsidRDefault="005A14A5" w:rsidP="00756B79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Федеральной антимонопольной службы</w:t>
      </w:r>
      <w:r w:rsidR="0040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5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Омской</w:t>
      </w:r>
      <w:r w:rsidR="0040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403FF5" w:rsidRDefault="00756B79" w:rsidP="005A14A5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>644010, г. Омск, пр. К. Маркса, 12А</w:t>
      </w:r>
    </w:p>
    <w:p w:rsidR="00756B79" w:rsidRDefault="00756B79" w:rsidP="005A14A5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4A5" w:rsidRPr="005A14A5" w:rsidRDefault="005A14A5" w:rsidP="005A14A5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кого: </w:t>
      </w:r>
    </w:p>
    <w:p w:rsidR="005A14A5" w:rsidRPr="005A14A5" w:rsidRDefault="005A14A5" w:rsidP="005A14A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"Группа компаний "МЕДПОЛИМЕРПРОМ"</w:t>
      </w:r>
    </w:p>
    <w:p w:rsidR="005A14A5" w:rsidRPr="005A14A5" w:rsidRDefault="005A14A5" w:rsidP="005A14A5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123317, Россия, г. Москва, ул. Литвина-Седого, д. 5, стр.1</w:t>
      </w:r>
    </w:p>
    <w:p w:rsidR="005A14A5" w:rsidRPr="005A14A5" w:rsidRDefault="005A14A5" w:rsidP="005A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4A5" w:rsidRPr="005A14A5" w:rsidRDefault="005A14A5" w:rsidP="005A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4A5" w:rsidRPr="005A14A5" w:rsidRDefault="005A14A5" w:rsidP="005A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4A5" w:rsidRPr="005A14A5" w:rsidRDefault="005A14A5" w:rsidP="005A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Жалоба </w:t>
      </w:r>
    </w:p>
    <w:p w:rsidR="005A14A5" w:rsidRPr="005A14A5" w:rsidRDefault="005A14A5" w:rsidP="005A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действия заказчика при размещении открытого аукциона </w:t>
      </w:r>
      <w:r w:rsidRPr="005A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электронной форме</w:t>
      </w:r>
    </w:p>
    <w:p w:rsidR="005A14A5" w:rsidRPr="005A14A5" w:rsidRDefault="005A14A5" w:rsidP="005A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4A5" w:rsidRPr="005A14A5" w:rsidRDefault="005A14A5" w:rsidP="005A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56B79"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ЗДРАВООХРАНЕНИЯ "</w:t>
      </w:r>
      <w:proofErr w:type="gramStart"/>
      <w:r w:rsidR="00756B79"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ЗАПАДНО-СИБИРСКИЙ</w:t>
      </w:r>
      <w:proofErr w:type="gramEnd"/>
      <w:r w:rsidR="00756B79"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ЦЕНТР ФЕДЕРАЛЬНОГО МЕДИКО-БИОЛОГИЧЕСКОГО АГЕНТСТВА"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6B79"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644033, Омская </w:t>
      </w:r>
      <w:proofErr w:type="spellStart"/>
      <w:r w:rsidR="00756B79"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756B79"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Омск г, УЛ КРАСНЫЙ ПУТЬ, 127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4A5" w:rsidRPr="005A14A5" w:rsidRDefault="005A14A5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Ответственное должностное лицо: </w:t>
      </w:r>
      <w:proofErr w:type="spellStart"/>
      <w:r w:rsidR="00756B79"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Болебко</w:t>
      </w:r>
      <w:proofErr w:type="spellEnd"/>
      <w:r w:rsidR="00756B79"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B79" w:rsidRDefault="00756B79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телефон: </w:t>
      </w:r>
      <w:r w:rsidRPr="0075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>7-3812-237257</w:t>
      </w:r>
    </w:p>
    <w:p w:rsidR="005A14A5" w:rsidRPr="00403FF5" w:rsidRDefault="005A14A5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почты: </w:t>
      </w:r>
      <w:r w:rsidR="00756B79" w:rsidRPr="00756B79">
        <w:rPr>
          <w:rFonts w:ascii="Times New Roman" w:hAnsi="Times New Roman" w:cs="Times New Roman"/>
          <w:sz w:val="24"/>
          <w:szCs w:val="24"/>
        </w:rPr>
        <w:tab/>
        <w:t>zakupki@zsmc.omsk.ru</w:t>
      </w:r>
    </w:p>
    <w:p w:rsidR="005A14A5" w:rsidRPr="005A14A5" w:rsidRDefault="005A14A5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закупки (заявитель)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АО "Группа компаний "МЕДПОЛИМЕРПРОМ", 123317, Россия, г. Москва, ул. Литвина-Седого, д. 5, стр.1; </w:t>
      </w: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(495) 775-66-63; 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факс: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(495) 775-66-52; </w:t>
      </w:r>
      <w:r w:rsidRPr="005A14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14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1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itanashev</w:t>
      </w:r>
      <w:proofErr w:type="spellEnd"/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A1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medpolimerprom</w:t>
      </w:r>
      <w:proofErr w:type="spellEnd"/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A1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Танашев</w:t>
      </w:r>
      <w:proofErr w:type="spellEnd"/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Евгеньевич.</w:t>
      </w:r>
    </w:p>
    <w:p w:rsidR="005A14A5" w:rsidRPr="005A14A5" w:rsidRDefault="005A14A5" w:rsidP="005A14A5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</w:t>
      </w:r>
      <w:proofErr w:type="gramEnd"/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котором размещена информация о закупке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5A1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A1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1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5A1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1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5A1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1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A14A5" w:rsidRPr="005A14A5" w:rsidRDefault="005A14A5" w:rsidP="005A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извещения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№ </w:t>
      </w:r>
      <w:r w:rsidR="00756B79"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>0352100002017000129</w:t>
      </w:r>
    </w:p>
    <w:p w:rsidR="005A14A5" w:rsidRPr="005A14A5" w:rsidRDefault="005A14A5" w:rsidP="005A14A5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аукциона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756B79"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медицинских материалов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14A5" w:rsidRPr="005A14A5" w:rsidRDefault="005A14A5" w:rsidP="005A14A5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опубликования извещения о проведении электронного аукциона: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3FF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.10.2017</w:t>
      </w:r>
    </w:p>
    <w:p w:rsidR="005A14A5" w:rsidRPr="005A14A5" w:rsidRDefault="005A14A5" w:rsidP="005A14A5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4A5" w:rsidRPr="005A14A5" w:rsidRDefault="005A14A5" w:rsidP="005A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Обжалуемые действия с указанием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которые нарушены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14A5" w:rsidRPr="005A14A5" w:rsidRDefault="005A14A5" w:rsidP="005A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нарушение статей 14, 111 Закона о контрактной системе документация об аукционе размещена с нарушениями требований постановления Правительства Российской Федерации от 05.02.2015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(в редакции постановления Правительства Российской Федерации от 14.08.2017 № 968)  (далее – Постановление № 102).  </w:t>
      </w:r>
    </w:p>
    <w:p w:rsidR="005A14A5" w:rsidRPr="005A14A5" w:rsidRDefault="005A14A5" w:rsidP="005A14A5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Доводы жалобы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14A5" w:rsidRPr="005A14A5" w:rsidRDefault="005A14A5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опубликован электронный аукцион № </w:t>
      </w:r>
      <w:r w:rsidR="00756B79" w:rsidRPr="0075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0352100002017000129 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изделий медицинского назначения. Извещением и документацией об аукционе предусмотрено применение ограничений, предусмотренных Постановлением № 102. </w:t>
      </w:r>
    </w:p>
    <w:p w:rsidR="005A14A5" w:rsidRPr="005A14A5" w:rsidRDefault="005A14A5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2.2 Постановления Правительства №102 установлено, что для целей осуществления закупок медицинских изделий одноразового применения (использования) из поливинилхлоридных пластиков, включенных в перечень № 2, не могут быть предметом одного контракта (одного лота) медицинские изделия, включенные в перечень № 2 и не включенные в него.</w:t>
      </w:r>
    </w:p>
    <w:p w:rsidR="00403FF5" w:rsidRPr="008B61F4" w:rsidRDefault="00403FF5" w:rsidP="0040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Перечень №2 включены изделия:</w:t>
      </w:r>
    </w:p>
    <w:p w:rsidR="00403FF5" w:rsidRPr="008B61F4" w:rsidRDefault="00403FF5" w:rsidP="0040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Классификационными признаками вида медицинского изделия: </w:t>
      </w:r>
    </w:p>
    <w:p w:rsidR="00403FF5" w:rsidRPr="008B61F4" w:rsidRDefault="00403FF5" w:rsidP="0040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устройства (системы) для переливания крови, кровезаменителей и инфузионных растворов, в том числе с микрофильтром, для безопасного переливания пациенту крови и ее компонентов, кровезаменителей и инфузионных растворов из полимерных и стеклянных емкостей;</w:t>
      </w:r>
    </w:p>
    <w:p w:rsidR="00403FF5" w:rsidRPr="008B61F4" w:rsidRDefault="00403FF5" w:rsidP="0040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Наименованием медицинского изделия:</w:t>
      </w:r>
    </w:p>
    <w:p w:rsidR="00403FF5" w:rsidRPr="008B61F4" w:rsidRDefault="00403FF5" w:rsidP="0040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устройства для переливания крови, кровезаменителей и инфузионных растворов;</w:t>
      </w:r>
    </w:p>
    <w:p w:rsidR="00F11B74" w:rsidRDefault="00756B79" w:rsidP="00F11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0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 вида медицинского изделия:</w:t>
      </w:r>
    </w:p>
    <w:p w:rsidR="003E7C61" w:rsidRDefault="003E7C61" w:rsidP="00F11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- 114090 «</w:t>
      </w:r>
      <w:r w:rsidRP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для внутривенных вливаний из </w:t>
      </w:r>
      <w:proofErr w:type="spellStart"/>
      <w:r w:rsidRP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несорбирующего</w:t>
      </w:r>
      <w:proofErr w:type="spellEnd"/>
      <w:r w:rsidRP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3E7C61" w:rsidRDefault="003E7C61" w:rsidP="00F11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стерильных изделий, разработанных для внутривенного введения растворов и изготавливаемых из пластика с низкой абсорбционной способностью, не допускающего частичную абсорбцию компонентов вливаемых растворов. Как правило, состоит из пластиковых трубок, изготовленных из неабсорбирующего пластика или покрытых им (например, полиэтиленом, тефлоном) для </w:t>
      </w:r>
      <w:proofErr w:type="spellStart"/>
      <w:r w:rsidRP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контакта раствора с поливинилхлоридными (ПВХ) компонентами; также включает контрольный клапан, роликовый зажим, Y-образный коннектор и </w:t>
      </w:r>
      <w:proofErr w:type="spellStart"/>
      <w:r w:rsidRP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луеровские</w:t>
      </w:r>
      <w:proofErr w:type="spellEnd"/>
      <w:r w:rsidRP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адаптеры. Набор в основном используется в </w:t>
      </w:r>
      <w:proofErr w:type="spellStart"/>
      <w:r w:rsidRP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высокопоточных</w:t>
      </w:r>
      <w:proofErr w:type="spellEnd"/>
      <w:r w:rsidRP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инфузионных насосах для введения растворов, содержащих вещества (например, нитроглицерин), которые абсорбируются материалами из ПВХ. Это изделие для одноразового использования.</w:t>
      </w:r>
    </w:p>
    <w:p w:rsidR="00756B79" w:rsidRDefault="00756B79" w:rsidP="00F11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B74" w:rsidRDefault="00F11B74" w:rsidP="00F11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описанию объекта закупки, к поставке требуются следующие изделия: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52"/>
        <w:gridCol w:w="6804"/>
      </w:tblGrid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6804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Характеристики 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Наконечник для кружки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Наконечник для кружки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и микроклизм взрослый не менее 8х160 мм для промывания и спринцевания полостей организма человека, а также проведения микроклизм. Наконечник должен быть изготовлен из полипропилена и иметь жесткую форму.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Все материалы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используемые для изготовления наконечников не должны вызывать аллергических реакций. Должен быть стерилен и нетоксичен. Индивидуальная упаковка.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резиновая № 2 емкость кружки не менее 1,5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литра,  предназначена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для санитарно-гигиенических целей (промываний и спринцеваний).  В комплект кружки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входит: Резервуар (резина) - 1 шт. Трубка (резина) - 1 шт.   Наконечник ректальный (пластиковый) – 1 шт. Индивидуальная упаковка.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Игла для пункции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Игла для пункции и доступа центральных вен по методике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Сельдингера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G 16, диаметр не менее 1,60 мм, длина не менее 100 мм Упаковка: 50 шт.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Игла для спинальной анестезии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Назначение: проведение спинальной анестезии. Состав: Игла – тонкостенная, устойчивая на излом, диаметр: 25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G,  длина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от 88 до 90 мм,  срез  дистального кончика: колющий типа "Карандаш". Встроенная система для идентификации поступления ликвора в павильон иглы; встроенный в наружную часть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павильона  специальный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выступ, указывающий направление среза иглы; Прозрачный павильон с четырьмя дополнительными упорами;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Мандрен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- стальной, точно совпадающий с внутренним диаметром иглы;  ручка-наконечник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мандрена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. Индивидуальная упаковка.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силиконизированного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латекса должен быть 2-х ходовой, объем баллона не менее 30мл. Содержание протеина в изделии - не более 50 мкг/г. Должна быть усиленная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неперекручивающаяся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стенка с гладким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атравматичным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слепым концом с дренажными отверстиями с одной стороны и воронкообразным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расширением  с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другой. Сбоку должен быть порт для раздувания баллона. Порт должен быть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цветомаркирован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Нипельный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клапан порта должен исключать утечку воды. Дистальный конец катетера должен быть с маркировкой объема баллона, размера и материала покрытия, максимального объема заполнения баллона, компании - производителя. У проксимального конца катетера должен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быть  прочный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и симметричный баллон.  Длина 38±2 см. Должен быть упакован в развернутом виде, что позволяет вводить катетер прямо из внутренней упаковки, не прикасаясь к нему. Стерильная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упаковка  должна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быть двойная с вертикальными насечками по обеим сторонам внутренней упаковки для освобождения проксимального и дистального концов катетера. Горизонтальные насечки по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длиннику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внутренней упаковки - для высвобождения катетера из упаковки после его установки в мочевой пузырь. Наружная упаковка - индивидуальный легко открывающийся лепестковый блистер. Размеры: СН 12 – 50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., СН 14 – 50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., СН 16 – 50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., СН 18 – 50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., СН 20 – 50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., СН 26 – 50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Шприц 20 мл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Шприц однократного применения должен быть стерильный,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двухдетальный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, объем 20 мл с иглой 0,8х40±2мм. Присоединительный конус «ЛУЕР» - наличие. Расположение конуса должно быть эксцентричное. Наличие стопорного кольца внутри цилиндра. Цена деления не более 2 мл.  Шток-поршень должен быть с выемкой для пальцев и ребристой поверхностью.  Игла должна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быть  тонкостенная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с силиконовым покрытием. Упаковка индивидуальная блистерная.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Шприц трехкомпонентный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Шприц трехкомпонентный для шприцевых насосов 50-60 мл, с винтовой насадкой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Люэр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лок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, легко скользящая накладка поршня с двумя уплотнительными кольцами, шириной 10-15 мм, абсолютно прозрачный цилиндр для контроля дозировки,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черная  нестираемая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контрастная градуировка, разъем для фиксации в шприцевом насосе под упорной планкой плунжера. Не содержит латекс. Цветовая кодировка упаковки для быстрого определения размера. Используемые материалы: Полипропилен,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изопреновая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резина, не содержит латекс. Положение канюли: центральное. Совместим с разными марками шприцевых насосов. Упаковка индивидуальная.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Шприц 10 мл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Шприц однократного применения должен быть стерильный,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двухдетальный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, объем 10 мл с иглой 0,8х40±2мм. Присоединительный конус «ЛУЕР» - наличие.  Расположение конуса должно быть эксцентричное. Наличие стопорного кольца внутри цилиндра. Цена деления не более 1 мл.  Шток-поршень должен быть с выемкой для </w:t>
            </w: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пальцев и ребристой поверхностью.  Игла должна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быть  тонкостенная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с силиконовым покрытием. Упаковка индивидуальная блистерная.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Шприц 2 мл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Шприц однократного применения должен быть стерильный,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двухдетальный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, объем 2 мл с иглой 0,6х25±5мм. Присоединительный конус: «ЛУЕР» - наличие. Расположение конуса по центру - наличие. Наличие стопорного кольца внутри цилиндра. Цена деления не более 0,2 мл.  Дополнительная градуировка не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менее  1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мл. Шток-поршень должен быть с выемкой для пальцев и ребристой поверхностью. Игла должна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быть  тонкостенная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с силиконовым покрытием. Упаковка индивидуальная блистерная.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Шприц 5 мл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Шприц однократного применения должен быть стерильный,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двухдетальный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, объем 5 мл с иглой 0,8х40±2мм. Присоединительный конус «ЛУЕР» - наличие.  Расположение конуса должно быть эксцентричное. Наличие стопорного кольца внутри цилиндра. Цена деления не более 0,5 мл.  Шток-поршень должен быть с выемкой для пальцев и ребристой поверхностью.  Игла должна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быть  тонкостенная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с силиконовым покрытием. Упаковка индивидуальная блистерная.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Шприц инсулин-туберкулиновый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Шприц инсулин-туберкулиновый стерильный, одноразовый, трехкомпонентный, объем 1 мл, на корпусе шприца несмываемая маркировка контрастного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цвета  двух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шкал – 1) инсулиновая шкала -  100 ед. (соответствует 1 мл), цена деления 1 ед., и 2) туберкулиновая шкала от 0 до 1 мл с  ценой деления 0,01 мл. Удлиненный дизайн поршня предотвращает потери лекарственного препарата,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трехконтактный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уплотнитель поршня обеспечивает плавное, без рывков, введение лекарственного средства. Поршень цветной, длина поршня без уплотнителя не менее 85 мм. Цилиндр шприца прозрачный диаметром не менее 7 мм. Расстояние от упора для пальцев до упора штока не менее 13 мм. Упор штока имеет ребристую нескользящую поверхность с диаметром не более 9 мм. Игла G 27 длиной не более 12,5 мм с защитным колпачком с залитым основанием, имеет трехгранную заточку, коннектор иглы должен иметь цветовую маркировку.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Шприц 150 мл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Шприц 150 мл инъекционный однократного применения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трехдетальный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, стерильный, с наконечником для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катетерной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насадки. Шприц для отсасывания различных жидкостей из организма и промывания внутренних полостей.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Инфузионная система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Инфузионная система с пластиковым шипом. Внутривенная игла: 21G (не менее 0,8x38 мм). Пластиковая игла со встроенным воздуховодом и воздушным фильтром. Дисковый фильтр внутри колбы не менее 10 мм для исключения попадания через металлическую иглу кусочков стекла и/или других материалов. Гибкая трубка длиной не менее 150 см, с точным регулятором скорости течения жидкости (роликовый зажим) по трубке. Прозрачная капельница. Латексный инъекционный порт для дополнительных инъекций. Стерильно,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апирогенно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, одноразового применения. Инструкция по применению на русском языке. Индивидуальная стерильная упаковка.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Игла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Игла – тонкостенная, устойчивая на излом, диаметром 22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G,  длиной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110-130 мм, со срезом дистального кончика типа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Квинке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;  Павильон иглы прозрачный с дополнительными пальцевыми упорами. Встроенный в наружную часть павильона специальный выступ, указывающий направление среза иглы для четкой тактильной идентификации направления среза иглы относительно хода спинномозгового канала;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Мандрен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- стальной, точно совпадающий с внутренним диаметром и срезом иглы; наконечник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мандрена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с международной маркировкой диаметра </w:t>
            </w:r>
            <w:proofErr w:type="gram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иглы  и</w:t>
            </w:r>
            <w:proofErr w:type="gram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цветоконтрастным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, по отношению к павильону, индикатором направления среза иглы.</w:t>
            </w:r>
          </w:p>
        </w:tc>
      </w:tr>
      <w:tr w:rsidR="00756B79" w:rsidRPr="00756B79" w:rsidTr="00756B79">
        <w:trPr>
          <w:trHeight w:val="227"/>
        </w:trPr>
        <w:tc>
          <w:tcPr>
            <w:tcW w:w="513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052" w:type="dxa"/>
            <w:shd w:val="clear" w:color="auto" w:fill="auto"/>
            <w:hideMark/>
          </w:tcPr>
          <w:p w:rsidR="00756B79" w:rsidRPr="00756B79" w:rsidRDefault="00756B79" w:rsidP="0075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56B79" w:rsidRPr="00756B79" w:rsidRDefault="00756B79" w:rsidP="0075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Моноблок, включающий в себя: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гемофильтр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, магистрали забора и возврата крови, диализирующей, замещающей, цитратной жидкостей и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эффлюента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, магистраль шприца, датчики и сегменты для контроля давления в системе, камера деаэрации, мешок для сбора ультрафильтра. Материал мембраны - акрилонитрил и сополимер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металлил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сульфонат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 xml:space="preserve"> натрия; Эффективная площадь поверхности мембраны не менее 1,50 кв. м; Режим разведения пре/</w:t>
            </w:r>
            <w:proofErr w:type="spellStart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постразведение</w:t>
            </w:r>
            <w:proofErr w:type="spellEnd"/>
            <w:r w:rsidRPr="00756B79">
              <w:rPr>
                <w:rFonts w:ascii="Times New Roman" w:eastAsia="Times New Roman" w:hAnsi="Times New Roman" w:cs="Times New Roman"/>
                <w:lang w:eastAsia="ru-RU"/>
              </w:rPr>
              <w:t>; Общий объем заполнения экстракорпорального контура не менее 190 мл. Минимальная скорость потока крови (мл/мин) не менее 450.</w:t>
            </w:r>
          </w:p>
        </w:tc>
      </w:tr>
    </w:tbl>
    <w:p w:rsidR="00403FF5" w:rsidRDefault="00403FF5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79" w:rsidRDefault="00756B79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79" w:rsidRDefault="00756B79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5" w:rsidRPr="005A14A5" w:rsidRDefault="005A14A5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требований п. 2.2. Постановления Правительства № 102 предметом контракта являются изделия одноразового применения (использования) из поливинилхлоридных пластиков, включенные в перечень № 2:</w:t>
      </w:r>
    </w:p>
    <w:p w:rsidR="003E7C61" w:rsidRDefault="005A14A5" w:rsidP="001E1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5912693"/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End w:id="0"/>
      <w:r w:rsidR="003E7C61" w:rsidRP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Инфузионная система</w:t>
      </w:r>
      <w:r w:rsidR="003E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(поз. 13 Технического задания);</w:t>
      </w:r>
    </w:p>
    <w:p w:rsidR="005A14A5" w:rsidRPr="005A14A5" w:rsidRDefault="005A14A5" w:rsidP="001E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включенные в него (остальная продукция, предусмотренная документацией об аукционе). </w:t>
      </w:r>
    </w:p>
    <w:p w:rsidR="001E138B" w:rsidRDefault="001E138B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5" w:rsidRPr="005A14A5" w:rsidRDefault="005A14A5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65 Закона о контрактной системе нами направлен запрос на разъяснение положений документации, по существу обжалуемых действий. Заказчиком предоставлены разъяснения следующего содержания:</w:t>
      </w:r>
    </w:p>
    <w:p w:rsidR="003E7C61" w:rsidRPr="003E7C61" w:rsidRDefault="005A14A5" w:rsidP="003E7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C61" w:rsidRPr="003E7C61">
        <w:rPr>
          <w:rFonts w:ascii="Times New Roman" w:eastAsia="Calibri" w:hAnsi="Times New Roman" w:cs="Times New Roman"/>
          <w:sz w:val="24"/>
          <w:szCs w:val="24"/>
        </w:rPr>
        <w:t xml:space="preserve">При составлении документации аукциона в электронной форме на поставку расходных медицинских материалов Заказчик руководствовался требованиями </w:t>
      </w:r>
      <w:r w:rsidR="003E7C61" w:rsidRPr="003E7C61">
        <w:rPr>
          <w:rFonts w:ascii="Times New Roman" w:eastAsia="Calibri" w:hAnsi="Times New Roman" w:cs="Times New Roman"/>
          <w:bCs/>
          <w:sz w:val="24"/>
          <w:szCs w:val="24"/>
        </w:rPr>
        <w:t>Постановления Правительства РФ от 5 февраля 2015 г. N 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по тексту – ППРФ 102).</w:t>
      </w:r>
    </w:p>
    <w:p w:rsidR="003E7C61" w:rsidRPr="003E7C61" w:rsidRDefault="003E7C61" w:rsidP="003E7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61">
        <w:rPr>
          <w:rFonts w:ascii="Times New Roman" w:eastAsia="Calibri" w:hAnsi="Times New Roman" w:cs="Times New Roman"/>
          <w:bCs/>
          <w:sz w:val="24"/>
          <w:szCs w:val="24"/>
        </w:rPr>
        <w:t>В соответствие с требованиями указанного постановления Заказчик обязан «</w:t>
      </w:r>
      <w:r w:rsidRPr="003E7C61">
        <w:rPr>
          <w:rFonts w:ascii="Times New Roman" w:eastAsia="Calibri" w:hAnsi="Times New Roman" w:cs="Times New Roman"/>
          <w:sz w:val="24"/>
          <w:szCs w:val="24"/>
        </w:rPr>
        <w:t>…руководствоваться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8" w:history="1">
        <w:r w:rsidRPr="003E7C61">
          <w:rPr>
            <w:rFonts w:ascii="Times New Roman" w:eastAsia="Calibri" w:hAnsi="Times New Roman" w:cs="Times New Roman"/>
            <w:sz w:val="24"/>
            <w:szCs w:val="24"/>
          </w:rPr>
          <w:t>ОКПД</w:t>
        </w:r>
      </w:hyperlink>
      <w:r w:rsidRPr="003E7C61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9" w:history="1">
        <w:r w:rsidRPr="003E7C61">
          <w:rPr>
            <w:rFonts w:ascii="Times New Roman" w:eastAsia="Calibri" w:hAnsi="Times New Roman" w:cs="Times New Roman"/>
            <w:sz w:val="24"/>
            <w:szCs w:val="24"/>
          </w:rPr>
          <w:t>ОКПД2</w:t>
        </w:r>
      </w:hyperlink>
      <w:r w:rsidRPr="003E7C61">
        <w:rPr>
          <w:rFonts w:ascii="Times New Roman" w:eastAsia="Calibri" w:hAnsi="Times New Roman" w:cs="Times New Roman"/>
          <w:sz w:val="24"/>
          <w:szCs w:val="24"/>
        </w:rPr>
        <w:t>), так и наименованием вида медицинского изделия указанного кода».</w:t>
      </w:r>
    </w:p>
    <w:p w:rsidR="003E7C61" w:rsidRPr="003E7C61" w:rsidRDefault="003E7C61" w:rsidP="003E7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7C61">
        <w:rPr>
          <w:rFonts w:ascii="Times New Roman" w:eastAsia="Calibri" w:hAnsi="Times New Roman" w:cs="Times New Roman"/>
          <w:bCs/>
          <w:sz w:val="24"/>
          <w:szCs w:val="24"/>
        </w:rPr>
        <w:t xml:space="preserve">Техническое задание (далее по тексту ТЗ) сформировано исходя из потребности Заказчика путем включения в состав лота медицинских изделий из </w:t>
      </w:r>
      <w:r w:rsidRPr="003E7C61">
        <w:rPr>
          <w:rFonts w:ascii="Times New Roman" w:eastAsia="Calibri" w:hAnsi="Times New Roman" w:cs="Times New Roman"/>
          <w:b/>
          <w:bCs/>
          <w:sz w:val="24"/>
          <w:szCs w:val="24"/>
        </w:rPr>
        <w:t>Перечня № 1</w:t>
      </w:r>
      <w:r w:rsidRPr="003E7C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E7C61">
        <w:rPr>
          <w:rFonts w:ascii="Times New Roman" w:eastAsia="Calibri" w:hAnsi="Times New Roman" w:cs="Times New Roman"/>
          <w:b/>
          <w:bCs/>
          <w:sz w:val="24"/>
          <w:szCs w:val="24"/>
        </w:rPr>
        <w:t>ППРФ</w:t>
      </w:r>
    </w:p>
    <w:p w:rsidR="003E7C61" w:rsidRPr="003E7C61" w:rsidRDefault="003E7C61" w:rsidP="003E7C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7C61">
        <w:rPr>
          <w:rFonts w:ascii="Times New Roman" w:eastAsia="Calibri" w:hAnsi="Times New Roman" w:cs="Times New Roman"/>
          <w:b/>
          <w:bCs/>
          <w:sz w:val="24"/>
          <w:szCs w:val="24"/>
        </w:rPr>
        <w:t>102</w:t>
      </w:r>
      <w:r w:rsidRPr="003E7C6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3E7C61">
        <w:rPr>
          <w:rFonts w:ascii="Times New Roman" w:eastAsia="Calibri" w:hAnsi="Times New Roman" w:cs="Times New Roman"/>
        </w:rPr>
        <w:t xml:space="preserve">требования к материалам медицинских </w:t>
      </w:r>
      <w:proofErr w:type="gramStart"/>
      <w:r w:rsidRPr="003E7C61">
        <w:rPr>
          <w:rFonts w:ascii="Times New Roman" w:eastAsia="Calibri" w:hAnsi="Times New Roman" w:cs="Times New Roman"/>
        </w:rPr>
        <w:t>изделий  из</w:t>
      </w:r>
      <w:proofErr w:type="gramEnd"/>
      <w:r w:rsidRPr="003E7C61">
        <w:rPr>
          <w:rFonts w:ascii="Times New Roman" w:eastAsia="Calibri" w:hAnsi="Times New Roman" w:cs="Times New Roman"/>
        </w:rPr>
        <w:t xml:space="preserve">  поливинилхлоридных пластиков </w:t>
      </w:r>
      <w:r w:rsidRPr="003E7C61">
        <w:rPr>
          <w:rFonts w:ascii="Times New Roman" w:eastAsia="Calibri" w:hAnsi="Times New Roman" w:cs="Times New Roman"/>
          <w:bCs/>
          <w:sz w:val="24"/>
          <w:szCs w:val="24"/>
        </w:rPr>
        <w:t xml:space="preserve"> заказчиком не установлены): </w:t>
      </w:r>
    </w:p>
    <w:p w:rsidR="003E7C61" w:rsidRPr="003E7C61" w:rsidRDefault="003E7C61" w:rsidP="003E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61">
        <w:rPr>
          <w:rFonts w:ascii="Times New Roman" w:eastAsia="Calibri" w:hAnsi="Times New Roman" w:cs="Times New Roman"/>
          <w:bCs/>
          <w:sz w:val="24"/>
          <w:szCs w:val="24"/>
        </w:rPr>
        <w:t xml:space="preserve">Медицинские изделия: </w:t>
      </w:r>
      <w:r w:rsidRPr="003E7C61">
        <w:rPr>
          <w:rFonts w:ascii="Times New Roman" w:eastAsia="Calibri" w:hAnsi="Times New Roman" w:cs="Times New Roman"/>
          <w:sz w:val="24"/>
          <w:szCs w:val="24"/>
        </w:rPr>
        <w:t>Инфузионная система (п.13 ТЗ</w:t>
      </w:r>
      <w:proofErr w:type="gramStart"/>
      <w:r w:rsidRPr="003E7C61">
        <w:rPr>
          <w:rFonts w:ascii="Times New Roman" w:eastAsia="Calibri" w:hAnsi="Times New Roman" w:cs="Times New Roman"/>
          <w:sz w:val="24"/>
          <w:szCs w:val="24"/>
        </w:rPr>
        <w:t>),  Устройство</w:t>
      </w:r>
      <w:proofErr w:type="gramEnd"/>
      <w:r w:rsidRPr="003E7C61">
        <w:rPr>
          <w:rFonts w:ascii="Times New Roman" w:eastAsia="Calibri" w:hAnsi="Times New Roman" w:cs="Times New Roman"/>
          <w:sz w:val="24"/>
          <w:szCs w:val="24"/>
        </w:rPr>
        <w:t xml:space="preserve"> (п.15 ТЗ) изделия содержатся  в Перечне № 1 ППРФ 102 с кодом 32.50.21.112.</w:t>
      </w:r>
    </w:p>
    <w:p w:rsidR="003E7C61" w:rsidRPr="003E7C61" w:rsidRDefault="003E7C61" w:rsidP="003E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61">
        <w:rPr>
          <w:rFonts w:ascii="Times New Roman" w:eastAsia="Calibri" w:hAnsi="Times New Roman" w:cs="Times New Roman"/>
          <w:sz w:val="24"/>
          <w:szCs w:val="24"/>
        </w:rPr>
        <w:t>Таким образом, документация об аукционе соответствует требованиям действующего законодательства и не нарушает права и законные интересы участников закупки.</w:t>
      </w:r>
    </w:p>
    <w:p w:rsidR="003E7C61" w:rsidRPr="003E7C61" w:rsidRDefault="003E7C61" w:rsidP="003E7C61">
      <w:pPr>
        <w:spacing w:after="0" w:line="240" w:lineRule="auto"/>
        <w:rPr>
          <w:rFonts w:ascii="Calibri" w:eastAsia="Calibri" w:hAnsi="Calibri" w:cs="Times New Roman"/>
        </w:rPr>
      </w:pPr>
      <w:r w:rsidRPr="003E7C61">
        <w:rPr>
          <w:rFonts w:ascii="Times New Roman" w:eastAsia="Calibri" w:hAnsi="Times New Roman" w:cs="Times New Roman"/>
          <w:sz w:val="24"/>
          <w:szCs w:val="24"/>
        </w:rPr>
        <w:t>Позиция Заказчика подтверждается следующими решениями контролирующих органов:</w:t>
      </w:r>
      <w:r w:rsidRPr="003E7C61">
        <w:rPr>
          <w:rFonts w:ascii="Courier New" w:eastAsia="Calibri" w:hAnsi="Courier New" w:cs="Courier New"/>
          <w:sz w:val="20"/>
          <w:szCs w:val="20"/>
          <w:u w:val="single"/>
        </w:rPr>
        <w:t xml:space="preserve"> </w:t>
      </w:r>
      <w:hyperlink r:id="rId10" w:history="1">
        <w:r w:rsidRPr="003E7C61">
          <w:rPr>
            <w:rFonts w:ascii="Courier New" w:eastAsia="Calibri" w:hAnsi="Courier New" w:cs="Courier New"/>
            <w:color w:val="0000FF"/>
            <w:sz w:val="20"/>
            <w:szCs w:val="20"/>
            <w:u w:val="single"/>
          </w:rPr>
          <w:t xml:space="preserve">http://zakupki.gov.ru/epz/complaint/card/complaint- </w:t>
        </w:r>
        <w:proofErr w:type="spellStart"/>
        <w:r w:rsidRPr="003E7C61">
          <w:rPr>
            <w:rFonts w:ascii="Courier New" w:eastAsia="Calibri" w:hAnsi="Courier New" w:cs="Courier New"/>
            <w:color w:val="0000FF"/>
            <w:sz w:val="20"/>
            <w:szCs w:val="20"/>
            <w:u w:val="single"/>
          </w:rPr>
          <w:t>information.html?id</w:t>
        </w:r>
        <w:proofErr w:type="spellEnd"/>
        <w:r w:rsidRPr="003E7C61">
          <w:rPr>
            <w:rFonts w:ascii="Courier New" w:eastAsia="Calibri" w:hAnsi="Courier New" w:cs="Courier New"/>
            <w:color w:val="0000FF"/>
            <w:sz w:val="20"/>
            <w:szCs w:val="20"/>
            <w:u w:val="single"/>
          </w:rPr>
          <w:t>=1753997</w:t>
        </w:r>
      </w:hyperlink>
    </w:p>
    <w:p w:rsidR="003E7C61" w:rsidRPr="003E7C61" w:rsidRDefault="003E7C61" w:rsidP="003E7C61">
      <w:pPr>
        <w:spacing w:after="0" w:line="240" w:lineRule="auto"/>
        <w:rPr>
          <w:rFonts w:ascii="Courier New" w:eastAsia="Calibri" w:hAnsi="Courier New" w:cs="Courier New"/>
          <w:sz w:val="20"/>
          <w:szCs w:val="20"/>
          <w:u w:val="single"/>
        </w:rPr>
      </w:pPr>
    </w:p>
    <w:p w:rsidR="005A14A5" w:rsidRPr="005A14A5" w:rsidRDefault="003E7C61" w:rsidP="003E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E7C61">
          <w:rPr>
            <w:rFonts w:ascii="Courier New" w:eastAsia="Calibri" w:hAnsi="Courier New" w:cs="Courier New"/>
            <w:color w:val="0000FF"/>
            <w:sz w:val="20"/>
            <w:szCs w:val="20"/>
            <w:u w:val="single"/>
          </w:rPr>
          <w:t>http://zakupki.gov.ru/epz/complaint/card/complaint-information.html?id=1753998</w:t>
        </w:r>
      </w:hyperlink>
      <w:r w:rsidR="005A14A5"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14A5" w:rsidRPr="005A14A5" w:rsidRDefault="005A14A5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27" w:rsidRDefault="001E138B" w:rsidP="001E1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Примечанием к Перечню №2, утвержденному Постановлением № 102, при применении настоящего перечня следует руководствоваться кодом в соответствии с Общероссийским классификатором продукции по видам экономической деятельности (ОКПД 2), и (или) </w:t>
      </w:r>
      <w:bookmarkStart w:id="1" w:name="_Hlk495932093"/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кодом вида медицинского изделия в соответствии с номенклатурной классификацией медицинских изделий, утвержденной 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Минздрава России, и (или) наименованием вида медицинского изделия, и (или) классификационными признаками вида медицинского изделия (при наличии)</w:t>
      </w:r>
      <w:bookmarkEnd w:id="1"/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C61" w:rsidRDefault="003E7C61" w:rsidP="003E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P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Правительством Российской Федерации указано четыре основания для отнесения того или иного вида медицинского изделия к Перечню № 2, при этом, использованы союзы «и (или)». Приведённая формулировка означает, что при наличии как нескольких одновременно, так и одного из четырех указанных выше оснований, заказчик обязан применить требования Постановления Правительства РФ от 05.02.2015 N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C61" w:rsidRDefault="003E7C61" w:rsidP="002C1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61" w:rsidRDefault="003E7C61" w:rsidP="003E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вышеперечисленных товаров, являющихся объектом закупки, в Перечень №2 входят следующие:</w:t>
      </w:r>
    </w:p>
    <w:tbl>
      <w:tblPr>
        <w:tblW w:w="92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67"/>
        <w:gridCol w:w="1725"/>
        <w:gridCol w:w="6946"/>
      </w:tblGrid>
      <w:tr w:rsidR="003E7C61" w:rsidRPr="002F1CDB" w:rsidTr="00E02D94">
        <w:tc>
          <w:tcPr>
            <w:tcW w:w="567" w:type="dxa"/>
            <w:shd w:val="clear" w:color="auto" w:fill="auto"/>
          </w:tcPr>
          <w:p w:rsidR="003E7C61" w:rsidRPr="002F1CDB" w:rsidRDefault="003E7C61" w:rsidP="00DC7018">
            <w:pPr>
              <w:pStyle w:val="a3"/>
              <w:widowControl/>
              <w:jc w:val="center"/>
              <w:rPr>
                <w:rStyle w:val="2"/>
                <w:rFonts w:ascii="Times New Roman" w:eastAsia="Times New Roman" w:hAnsi="Times New Roman"/>
              </w:rPr>
            </w:pPr>
            <w:r w:rsidRPr="002F1CDB">
              <w:rPr>
                <w:rStyle w:val="2"/>
                <w:rFonts w:ascii="Times New Roman" w:eastAsia="Times New Roman" w:hAnsi="Times New Roman"/>
              </w:rPr>
              <w:t xml:space="preserve">№ </w:t>
            </w:r>
            <w:r w:rsidR="00E02D94">
              <w:rPr>
                <w:rStyle w:val="2"/>
                <w:rFonts w:ascii="Times New Roman" w:eastAsia="Times New Roman" w:hAnsi="Times New Roman"/>
              </w:rPr>
              <w:t>ТЗ</w:t>
            </w:r>
          </w:p>
        </w:tc>
        <w:tc>
          <w:tcPr>
            <w:tcW w:w="1725" w:type="dxa"/>
            <w:shd w:val="clear" w:color="auto" w:fill="auto"/>
          </w:tcPr>
          <w:p w:rsidR="003E7C61" w:rsidRPr="002F1CDB" w:rsidRDefault="003E7C61" w:rsidP="00DC7018">
            <w:pPr>
              <w:pStyle w:val="a3"/>
              <w:widowControl/>
              <w:jc w:val="center"/>
              <w:rPr>
                <w:rStyle w:val="2"/>
                <w:rFonts w:ascii="Times New Roman" w:eastAsia="Times New Roman" w:hAnsi="Times New Roman"/>
              </w:rPr>
            </w:pPr>
            <w:r w:rsidRPr="002F1CDB">
              <w:rPr>
                <w:rStyle w:val="2"/>
                <w:rFonts w:ascii="Times New Roman" w:eastAsia="Times New Roman" w:hAnsi="Times New Roman"/>
              </w:rPr>
              <w:t>Наименование товара, работ(услуг)</w:t>
            </w:r>
          </w:p>
        </w:tc>
        <w:tc>
          <w:tcPr>
            <w:tcW w:w="6946" w:type="dxa"/>
          </w:tcPr>
          <w:p w:rsidR="003E7C61" w:rsidRPr="002F1CDB" w:rsidRDefault="003E7C61" w:rsidP="00DC7018">
            <w:pPr>
              <w:pStyle w:val="a3"/>
              <w:widowControl/>
              <w:jc w:val="center"/>
              <w:rPr>
                <w:rStyle w:val="2"/>
                <w:rFonts w:ascii="Times New Roman" w:eastAsia="Times New Roman" w:hAnsi="Times New Roman"/>
              </w:rPr>
            </w:pPr>
            <w:r w:rsidRPr="002F1CDB">
              <w:rPr>
                <w:rStyle w:val="2"/>
                <w:rFonts w:ascii="Times New Roman" w:eastAsia="Times New Roman" w:hAnsi="Times New Roman"/>
              </w:rPr>
              <w:t>Основания</w:t>
            </w:r>
          </w:p>
        </w:tc>
      </w:tr>
      <w:tr w:rsidR="003E7C61" w:rsidRPr="002F1CDB" w:rsidTr="00E02D94">
        <w:tc>
          <w:tcPr>
            <w:tcW w:w="567" w:type="dxa"/>
            <w:shd w:val="clear" w:color="auto" w:fill="auto"/>
          </w:tcPr>
          <w:p w:rsidR="003E7C61" w:rsidRPr="002F1CDB" w:rsidRDefault="00E02D94" w:rsidP="00DC7018">
            <w:pPr>
              <w:pStyle w:val="a3"/>
              <w:widowControl/>
              <w:rPr>
                <w:rStyle w:val="2"/>
                <w:rFonts w:ascii="Times New Roman" w:eastAsia="Times New Roman" w:hAnsi="Times New Roman"/>
              </w:rPr>
            </w:pPr>
            <w:bookmarkStart w:id="2" w:name="_Hlk496001623"/>
            <w:r>
              <w:rPr>
                <w:rStyle w:val="2"/>
                <w:rFonts w:ascii="Times New Roman" w:eastAsia="Times New Roman" w:hAnsi="Times New Roman"/>
              </w:rPr>
              <w:t>13</w:t>
            </w:r>
          </w:p>
        </w:tc>
        <w:tc>
          <w:tcPr>
            <w:tcW w:w="1725" w:type="dxa"/>
            <w:shd w:val="clear" w:color="auto" w:fill="auto"/>
          </w:tcPr>
          <w:p w:rsidR="003E7C61" w:rsidRPr="002F1CDB" w:rsidRDefault="00E02D94" w:rsidP="00DC7018">
            <w:pPr>
              <w:pStyle w:val="a3"/>
              <w:widowControl/>
              <w:rPr>
                <w:rStyle w:val="2"/>
                <w:rFonts w:ascii="Times New Roman" w:eastAsia="Times New Roman" w:hAnsi="Times New Roman"/>
              </w:rPr>
            </w:pPr>
            <w:r>
              <w:rPr>
                <w:rStyle w:val="2"/>
                <w:rFonts w:ascii="Times New Roman" w:eastAsia="Times New Roman" w:hAnsi="Times New Roman"/>
              </w:rPr>
              <w:t xml:space="preserve">Инфузионная система </w:t>
            </w:r>
          </w:p>
        </w:tc>
        <w:tc>
          <w:tcPr>
            <w:tcW w:w="6946" w:type="dxa"/>
          </w:tcPr>
          <w:p w:rsidR="00E02D94" w:rsidRDefault="00E02D94" w:rsidP="00E02D94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Функционально является системой для </w:t>
            </w:r>
            <w:r w:rsidRPr="00E02D94">
              <w:rPr>
                <w:rFonts w:ascii="Times New Roman" w:eastAsia="Times New Roman" w:hAnsi="Times New Roman"/>
              </w:rPr>
              <w:t>переливания крови, кровезаменителей и инфузионных растворов</w:t>
            </w:r>
            <w:r>
              <w:rPr>
                <w:rFonts w:ascii="Times New Roman" w:eastAsia="Times New Roman" w:hAnsi="Times New Roman"/>
              </w:rPr>
              <w:t>. Состоит из н</w:t>
            </w:r>
            <w:r w:rsidRPr="00E02D94">
              <w:rPr>
                <w:rFonts w:ascii="Times New Roman" w:eastAsia="Times New Roman" w:hAnsi="Times New Roman"/>
              </w:rPr>
              <w:t>абор</w:t>
            </w:r>
            <w:r>
              <w:rPr>
                <w:rFonts w:ascii="Times New Roman" w:eastAsia="Times New Roman" w:hAnsi="Times New Roman"/>
              </w:rPr>
              <w:t>а</w:t>
            </w:r>
            <w:r w:rsidRPr="00E02D94">
              <w:rPr>
                <w:rFonts w:ascii="Times New Roman" w:eastAsia="Times New Roman" w:hAnsi="Times New Roman"/>
              </w:rPr>
              <w:t xml:space="preserve"> стерильных изделий, разработанных для внутривенного введения растворов</w:t>
            </w:r>
            <w:r>
              <w:rPr>
                <w:rFonts w:ascii="Times New Roman" w:eastAsia="Times New Roman" w:hAnsi="Times New Roman"/>
              </w:rPr>
              <w:t xml:space="preserve">. Соответственно, включена в Перечень №2 по следующим признакам: </w:t>
            </w:r>
          </w:p>
          <w:p w:rsidR="00E02D94" w:rsidRPr="00E02D94" w:rsidRDefault="00E02D94" w:rsidP="00E02D94">
            <w:pPr>
              <w:pStyle w:val="a3"/>
              <w:rPr>
                <w:rFonts w:ascii="Times New Roman" w:eastAsia="Times New Roman" w:hAnsi="Times New Roman"/>
              </w:rPr>
            </w:pPr>
            <w:r w:rsidRPr="00E02D94">
              <w:rPr>
                <w:rFonts w:ascii="Times New Roman" w:eastAsia="Times New Roman" w:hAnsi="Times New Roman"/>
              </w:rPr>
              <w:t xml:space="preserve">1. </w:t>
            </w:r>
            <w:r>
              <w:rPr>
                <w:rFonts w:ascii="Times New Roman" w:eastAsia="Times New Roman" w:hAnsi="Times New Roman"/>
              </w:rPr>
              <w:t>По</w:t>
            </w:r>
            <w:r w:rsidRPr="00E02D94">
              <w:rPr>
                <w:rFonts w:ascii="Times New Roman" w:eastAsia="Times New Roman" w:hAnsi="Times New Roman"/>
              </w:rPr>
              <w:t xml:space="preserve"> Классификационным признакам вида медицинского изделия: </w:t>
            </w:r>
          </w:p>
          <w:p w:rsidR="00E02D94" w:rsidRPr="00E02D94" w:rsidRDefault="00E02D94" w:rsidP="00E02D94">
            <w:pPr>
              <w:pStyle w:val="a3"/>
              <w:rPr>
                <w:rFonts w:ascii="Times New Roman" w:eastAsia="Times New Roman" w:hAnsi="Times New Roman"/>
              </w:rPr>
            </w:pPr>
            <w:r w:rsidRPr="00E02D94">
              <w:rPr>
                <w:rFonts w:ascii="Times New Roman" w:eastAsia="Times New Roman" w:hAnsi="Times New Roman"/>
              </w:rPr>
              <w:t>- устройства (системы) для переливания крови, кровезаменителей и инфузионных растворов, в том числе с микрофильтром, для безопасного переливания пациенту крови и ее компонентов, кровезаменителей и инфузионных растворов из полимерных и стеклянных емкостей</w:t>
            </w:r>
            <w:r>
              <w:rPr>
                <w:rFonts w:ascii="Times New Roman" w:eastAsia="Times New Roman" w:hAnsi="Times New Roman"/>
              </w:rPr>
              <w:t xml:space="preserve"> – так как является таков</w:t>
            </w:r>
            <w:r w:rsidR="00D7324B">
              <w:rPr>
                <w:rFonts w:ascii="Times New Roman" w:eastAsia="Times New Roman" w:hAnsi="Times New Roman"/>
              </w:rPr>
              <w:t>ой</w:t>
            </w:r>
            <w:r w:rsidRPr="00E02D94">
              <w:rPr>
                <w:rFonts w:ascii="Times New Roman" w:eastAsia="Times New Roman" w:hAnsi="Times New Roman"/>
              </w:rPr>
              <w:t>;</w:t>
            </w:r>
          </w:p>
          <w:p w:rsidR="00E02D94" w:rsidRPr="00E02D94" w:rsidRDefault="00E02D94" w:rsidP="00E02D94">
            <w:pPr>
              <w:pStyle w:val="a3"/>
              <w:rPr>
                <w:rFonts w:ascii="Times New Roman" w:eastAsia="Times New Roman" w:hAnsi="Times New Roman"/>
              </w:rPr>
            </w:pPr>
            <w:r w:rsidRPr="00E02D94">
              <w:rPr>
                <w:rFonts w:ascii="Times New Roman" w:eastAsia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</w:rPr>
              <w:t>По</w:t>
            </w:r>
            <w:r w:rsidRPr="00E02D94">
              <w:rPr>
                <w:rFonts w:ascii="Times New Roman" w:eastAsia="Times New Roman" w:hAnsi="Times New Roman"/>
              </w:rPr>
              <w:t xml:space="preserve"> Наименовани</w:t>
            </w:r>
            <w:r>
              <w:rPr>
                <w:rFonts w:ascii="Times New Roman" w:eastAsia="Times New Roman" w:hAnsi="Times New Roman"/>
              </w:rPr>
              <w:t>ю</w:t>
            </w:r>
            <w:r w:rsidRPr="00E02D94">
              <w:rPr>
                <w:rFonts w:ascii="Times New Roman" w:eastAsia="Times New Roman" w:hAnsi="Times New Roman"/>
              </w:rPr>
              <w:t xml:space="preserve"> медицинского изделия:</w:t>
            </w:r>
          </w:p>
          <w:p w:rsidR="00E02D94" w:rsidRPr="00E02D94" w:rsidRDefault="00E02D94" w:rsidP="00E02D94">
            <w:pPr>
              <w:pStyle w:val="a3"/>
              <w:rPr>
                <w:rFonts w:ascii="Times New Roman" w:eastAsia="Times New Roman" w:hAnsi="Times New Roman"/>
              </w:rPr>
            </w:pPr>
            <w:r w:rsidRPr="00E02D94">
              <w:rPr>
                <w:rFonts w:ascii="Times New Roman" w:eastAsia="Times New Roman" w:hAnsi="Times New Roman"/>
              </w:rPr>
              <w:t>- устройства для переливания крови, кровезаменителей и инфузионных растворов</w:t>
            </w:r>
            <w:r>
              <w:rPr>
                <w:rFonts w:ascii="Times New Roman" w:eastAsia="Times New Roman" w:hAnsi="Times New Roman"/>
              </w:rPr>
              <w:t xml:space="preserve"> – так как является таков</w:t>
            </w:r>
            <w:r w:rsidR="00D7324B">
              <w:rPr>
                <w:rFonts w:ascii="Times New Roman" w:eastAsia="Times New Roman" w:hAnsi="Times New Roman"/>
              </w:rPr>
              <w:t>ой</w:t>
            </w:r>
            <w:r w:rsidRPr="00E02D94">
              <w:rPr>
                <w:rFonts w:ascii="Times New Roman" w:eastAsia="Times New Roman" w:hAnsi="Times New Roman"/>
              </w:rPr>
              <w:t>;</w:t>
            </w:r>
          </w:p>
          <w:p w:rsidR="00E02D94" w:rsidRPr="00E02D94" w:rsidRDefault="00E02D94" w:rsidP="00E02D94">
            <w:pPr>
              <w:pStyle w:val="a3"/>
              <w:rPr>
                <w:rFonts w:ascii="Times New Roman" w:eastAsia="Times New Roman" w:hAnsi="Times New Roman"/>
              </w:rPr>
            </w:pPr>
            <w:r w:rsidRPr="00E02D94">
              <w:rPr>
                <w:rFonts w:ascii="Times New Roman" w:eastAsia="Times New Roman" w:hAnsi="Times New Roman"/>
              </w:rPr>
              <w:t>3. С Кодом вида медицинского изделия:</w:t>
            </w:r>
          </w:p>
          <w:p w:rsidR="00E02D94" w:rsidRPr="00E02D94" w:rsidRDefault="00E02D94" w:rsidP="00E02D94">
            <w:pPr>
              <w:pStyle w:val="a3"/>
              <w:rPr>
                <w:rFonts w:ascii="Times New Roman" w:eastAsia="Times New Roman" w:hAnsi="Times New Roman"/>
              </w:rPr>
            </w:pPr>
            <w:r w:rsidRPr="00E02D94">
              <w:rPr>
                <w:rFonts w:ascii="Times New Roman" w:eastAsia="Times New Roman" w:hAnsi="Times New Roman"/>
              </w:rPr>
              <w:t xml:space="preserve">- 114090 «Набор для внутривенных вливаний из </w:t>
            </w:r>
            <w:proofErr w:type="spellStart"/>
            <w:r w:rsidRPr="00E02D94">
              <w:rPr>
                <w:rFonts w:ascii="Times New Roman" w:eastAsia="Times New Roman" w:hAnsi="Times New Roman"/>
              </w:rPr>
              <w:t>несорбирующего</w:t>
            </w:r>
            <w:proofErr w:type="spellEnd"/>
            <w:r w:rsidRPr="00E02D94">
              <w:rPr>
                <w:rFonts w:ascii="Times New Roman" w:eastAsia="Times New Roman" w:hAnsi="Times New Roman"/>
              </w:rPr>
              <w:t xml:space="preserve"> материала»: </w:t>
            </w:r>
          </w:p>
          <w:p w:rsidR="00E02D94" w:rsidRPr="00E02D94" w:rsidRDefault="00E02D94" w:rsidP="00E02D94">
            <w:pPr>
              <w:pStyle w:val="a3"/>
              <w:rPr>
                <w:rFonts w:ascii="Times New Roman" w:eastAsia="Times New Roman" w:hAnsi="Times New Roman"/>
              </w:rPr>
            </w:pPr>
            <w:r w:rsidRPr="00E02D94">
              <w:rPr>
                <w:rFonts w:ascii="Times New Roman" w:eastAsia="Times New Roman" w:hAnsi="Times New Roman"/>
              </w:rPr>
              <w:t xml:space="preserve">Набор стерильных изделий, разработанных для внутривенного введения растворов и изготавливаемых из пластика с низкой абсорбционной способностью, не допускающего частичную абсорбцию компонентов вливаемых растворов. Как правило, состоит из пластиковых трубок, изготовленных из неабсорбирующего пластика или покрытых им (например, полиэтиленом, тефлоном) для </w:t>
            </w:r>
            <w:proofErr w:type="spellStart"/>
            <w:r w:rsidRPr="00E02D94">
              <w:rPr>
                <w:rFonts w:ascii="Times New Roman" w:eastAsia="Times New Roman" w:hAnsi="Times New Roman"/>
              </w:rPr>
              <w:t>избежания</w:t>
            </w:r>
            <w:proofErr w:type="spellEnd"/>
            <w:r w:rsidRPr="00E02D94">
              <w:rPr>
                <w:rFonts w:ascii="Times New Roman" w:eastAsia="Times New Roman" w:hAnsi="Times New Roman"/>
              </w:rPr>
              <w:t xml:space="preserve"> контакта раствора с поливинилхлоридными (ПВХ) компонентами; также включает контрольный клапан, роликовый зажим, Y-образный коннектор и </w:t>
            </w:r>
            <w:proofErr w:type="spellStart"/>
            <w:r w:rsidRPr="00E02D94">
              <w:rPr>
                <w:rFonts w:ascii="Times New Roman" w:eastAsia="Times New Roman" w:hAnsi="Times New Roman"/>
              </w:rPr>
              <w:t>луеровские</w:t>
            </w:r>
            <w:proofErr w:type="spellEnd"/>
            <w:r w:rsidRPr="00E02D94">
              <w:rPr>
                <w:rFonts w:ascii="Times New Roman" w:eastAsia="Times New Roman" w:hAnsi="Times New Roman"/>
              </w:rPr>
              <w:t xml:space="preserve"> адаптеры. Набор в основном используется в </w:t>
            </w:r>
            <w:proofErr w:type="spellStart"/>
            <w:r w:rsidRPr="00E02D94">
              <w:rPr>
                <w:rFonts w:ascii="Times New Roman" w:eastAsia="Times New Roman" w:hAnsi="Times New Roman"/>
              </w:rPr>
              <w:t>высокопоточных</w:t>
            </w:r>
            <w:proofErr w:type="spellEnd"/>
            <w:r w:rsidRPr="00E02D94">
              <w:rPr>
                <w:rFonts w:ascii="Times New Roman" w:eastAsia="Times New Roman" w:hAnsi="Times New Roman"/>
              </w:rPr>
              <w:t xml:space="preserve"> инфузионных насосах для введения растворов, содержащих вещества (например, нитроглицерин), которые абсорбируются материалами из ПВХ. Это изделие для одноразового использования</w:t>
            </w:r>
            <w:r>
              <w:rPr>
                <w:rFonts w:ascii="Times New Roman" w:eastAsia="Times New Roman" w:hAnsi="Times New Roman"/>
              </w:rPr>
              <w:t xml:space="preserve"> – так как является таков</w:t>
            </w:r>
            <w:r w:rsidR="00D7324B">
              <w:rPr>
                <w:rFonts w:ascii="Times New Roman" w:eastAsia="Times New Roman" w:hAnsi="Times New Roman"/>
              </w:rPr>
              <w:t>ой</w:t>
            </w:r>
          </w:p>
          <w:p w:rsidR="003E7C61" w:rsidRPr="002F1CDB" w:rsidRDefault="003E7C61" w:rsidP="00DC7018">
            <w:pPr>
              <w:pStyle w:val="a3"/>
              <w:widowControl/>
              <w:rPr>
                <w:rStyle w:val="2"/>
                <w:rFonts w:ascii="Times New Roman" w:eastAsia="Times New Roman" w:hAnsi="Times New Roman"/>
              </w:rPr>
            </w:pPr>
          </w:p>
        </w:tc>
      </w:tr>
      <w:bookmarkEnd w:id="2"/>
    </w:tbl>
    <w:p w:rsidR="003E7C61" w:rsidRDefault="003E7C61" w:rsidP="002C1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5" w:rsidRPr="005A14A5" w:rsidRDefault="005A14A5" w:rsidP="001E1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 требуем</w:t>
      </w:r>
      <w:r w:rsidR="001E138B"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поставке «</w:t>
      </w:r>
      <w:r w:rsidR="00B330D7" w:rsidRPr="00B330D7">
        <w:rPr>
          <w:rStyle w:val="2"/>
          <w:rFonts w:ascii="Times New Roman" w:eastAsia="Times New Roman" w:hAnsi="Times New Roman"/>
          <w:b/>
        </w:rPr>
        <w:t>Инфузионная система</w:t>
      </w:r>
      <w:r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включен</w:t>
      </w:r>
      <w:r w:rsidR="001E138B"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B330D7"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№ 2 Постановления Правительства № 102</w:t>
      </w:r>
      <w:r w:rsidR="001E138B"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отличие от остальных закупаемых в данном аукционе товаров,</w:t>
      </w:r>
      <w:r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должн</w:t>
      </w:r>
      <w:r w:rsidR="001E138B"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закупаться отдельным лотом</w:t>
      </w:r>
      <w:r w:rsidR="00B330D7"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вне зависимости от ее нахождени</w:t>
      </w:r>
      <w:r w:rsidR="000D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330D7"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Перечне №1 и других реестрах</w:t>
      </w:r>
      <w:r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Заказчиком </w:t>
      </w:r>
      <w:r w:rsidRPr="00B3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нарушены требования ст. 14, 111 Закона о контрактной системе и п. 2.2 Постановления №102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_GoBack"/>
      <w:bookmarkEnd w:id="3"/>
    </w:p>
    <w:p w:rsidR="005A14A5" w:rsidRPr="005A14A5" w:rsidRDefault="005A14A5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5" w:rsidRPr="005A14A5" w:rsidRDefault="005A14A5" w:rsidP="005A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прошу:</w:t>
      </w:r>
    </w:p>
    <w:p w:rsidR="005A14A5" w:rsidRPr="005A14A5" w:rsidRDefault="005A14A5" w:rsidP="00F661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осуществление закупки до рассмотрения настоящей </w:t>
      </w:r>
      <w:proofErr w:type="gramStart"/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</w:t>
      </w:r>
    </w:p>
    <w:p w:rsidR="005A14A5" w:rsidRPr="005A14A5" w:rsidRDefault="005A14A5" w:rsidP="00F661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внеплановую проверку документации об аукционе.</w:t>
      </w:r>
    </w:p>
    <w:p w:rsidR="005A14A5" w:rsidRPr="005A14A5" w:rsidRDefault="005A14A5" w:rsidP="00F661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жалобу Заявителя обоснованной.</w:t>
      </w:r>
    </w:p>
    <w:p w:rsidR="005A14A5" w:rsidRPr="005A14A5" w:rsidRDefault="005A14A5" w:rsidP="00F661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обязательное для исполнения предписание.</w:t>
      </w:r>
    </w:p>
    <w:p w:rsidR="005A14A5" w:rsidRPr="005A14A5" w:rsidRDefault="005A14A5" w:rsidP="00F661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виновных лиц к ответственности в соответствии с действующим законодательством.</w:t>
      </w:r>
    </w:p>
    <w:p w:rsidR="005A14A5" w:rsidRPr="005A14A5" w:rsidRDefault="005A14A5" w:rsidP="00F66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5" w:rsidRPr="005A14A5" w:rsidRDefault="005A14A5" w:rsidP="00F66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5A14A5" w:rsidRPr="005A14A5" w:rsidRDefault="005A14A5" w:rsidP="00F661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на 1 л.</w:t>
      </w:r>
    </w:p>
    <w:p w:rsidR="005A14A5" w:rsidRPr="005A14A5" w:rsidRDefault="005A14A5" w:rsidP="00F66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5" w:rsidRPr="005A14A5" w:rsidRDefault="005A14A5" w:rsidP="00F66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5" w:rsidRPr="005A14A5" w:rsidRDefault="005A14A5" w:rsidP="00F6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А.А. Борисов</w:t>
      </w:r>
    </w:p>
    <w:p w:rsidR="005A14A5" w:rsidRPr="005A14A5" w:rsidRDefault="005A14A5" w:rsidP="00F66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5" w:rsidRPr="005A14A5" w:rsidRDefault="005A14A5" w:rsidP="005A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410DE4" wp14:editId="45698C91">
            <wp:extent cx="6477000" cy="91592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A1" w:rsidRDefault="007625A1"/>
    <w:sectPr w:rsidR="0076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035BC"/>
    <w:multiLevelType w:val="hybridMultilevel"/>
    <w:tmpl w:val="524E077A"/>
    <w:lvl w:ilvl="0" w:tplc="E230E5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2B0E43"/>
    <w:multiLevelType w:val="hybridMultilevel"/>
    <w:tmpl w:val="4FF02994"/>
    <w:lvl w:ilvl="0" w:tplc="B0D09D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A5"/>
    <w:rsid w:val="000D7C4D"/>
    <w:rsid w:val="00173E27"/>
    <w:rsid w:val="001E138B"/>
    <w:rsid w:val="002C15AC"/>
    <w:rsid w:val="00306279"/>
    <w:rsid w:val="003E7C61"/>
    <w:rsid w:val="00403FF5"/>
    <w:rsid w:val="005A14A5"/>
    <w:rsid w:val="00756B79"/>
    <w:rsid w:val="007625A1"/>
    <w:rsid w:val="00B330D7"/>
    <w:rsid w:val="00D7324B"/>
    <w:rsid w:val="00E02D94"/>
    <w:rsid w:val="00E76144"/>
    <w:rsid w:val="00F11B74"/>
    <w:rsid w:val="00F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412E"/>
  <w15:chartTrackingRefBased/>
  <w15:docId w15:val="{48E32C0A-0202-4F15-A446-63CD8F13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 БО"/>
    <w:basedOn w:val="a"/>
    <w:rsid w:val="003E7C61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ru-RU"/>
    </w:rPr>
  </w:style>
  <w:style w:type="character" w:customStyle="1" w:styleId="2">
    <w:name w:val="Основной шрифт абзаца2"/>
    <w:rsid w:val="003E7C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zakupki.gov.ru/epz/complaint/card/complaint-information.html?id=175399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upki.gov.ru/epz/complaint/card/complaint-%20information.html?id=1753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3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gw/6E1RVzvYQLwolnQK88e7vr5/2TS+NrB6Hq766Yy4=</DigestValue>
    </Reference>
    <Reference Type="http://www.w3.org/2000/09/xmldsig#Object" URI="#idOfficeObject">
      <DigestMethod Algorithm="urn:ietf:params:xml:ns:cpxmlsec:algorithms:gostr3411"/>
      <DigestValue>RkCGrZKImcCLk1/IBSRYxqvMddlhu5l5habxBYlQHpo=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bYDv0MuUDqzfVXooSVzL2+SktcLSncF71gh5S7wzWBY=</DigestValue>
    </Reference>
  </SignedInfo>
  <SignatureValue>niRHjLeIrKJLMXot1A4M3Z3Rg1oF0jnz1vt3dcWGCfFlvwDMvIpdYaqsBks6KlZi
A0XGoz3tcxb6Rgo5LVdt8Q==</SignatureValue>
  <KeyInfo>
    <X509Data>
      <X509Certificate>MIIKBDCCCbOgAwIBAgIRAOEDbhsH4NaA5xHfYjbBfHUwCAYGKoUDAgIDMIIBIzEY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MjAeFw0xNzA3MDcwNjMyNDFaFw0xODA3MDcwNjQyNDFaMIICHTEcMBoGA1UEAwwT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BAMMEtCj0KYgMSDQmNChINCT0KPQpoIKGDytjwADAAAH8TATBgNVHSAEDDAKMAgG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tbTnSYf/U6OCS1dkp8cteKVFsro=</DigestValue>
      </Reference>
      <Reference URI="/word/document.xml?ContentType=application/vnd.openxmlformats-officedocument.wordprocessingml.document.main+xml">
        <DigestMethod Algorithm="http://www.w3.org/2000/09/xmldsig#sha1"/>
        <DigestValue>YvBCjf/sbqWMxxjWkoKbuS7ie0M=</DigestValue>
      </Reference>
      <Reference URI="/word/embeddings/oleObject1.bin?ContentType=application/vnd.openxmlformats-officedocument.oleObject">
        <DigestMethod Algorithm="http://www.w3.org/2000/09/xmldsig#sha1"/>
        <DigestValue>rDlmNgCUuD9PfrSfNStJOLuJQP0=</DigestValue>
      </Reference>
      <Reference URI="/word/fontTable.xml?ContentType=application/vnd.openxmlformats-officedocument.wordprocessingml.fontTable+xml">
        <DigestMethod Algorithm="http://www.w3.org/2000/09/xmldsig#sha1"/>
        <DigestValue>1QBVcliRMb57je8jppnXPPvmR1U=</DigestValue>
      </Reference>
      <Reference URI="/word/media/image1.png?ContentType=image/png">
        <DigestMethod Algorithm="http://www.w3.org/2000/09/xmldsig#sha1"/>
        <DigestValue>61VHy5NyYZe5m8ADTm5r5/auJgs=</DigestValue>
      </Reference>
      <Reference URI="/word/media/image2.emf?ContentType=image/x-emf">
        <DigestMethod Algorithm="http://www.w3.org/2000/09/xmldsig#sha1"/>
        <DigestValue>7EjXQDPBd0jN6B8ZzcKggwaxRuw=</DigestValue>
      </Reference>
      <Reference URI="/word/numbering.xml?ContentType=application/vnd.openxmlformats-officedocument.wordprocessingml.numbering+xml">
        <DigestMethod Algorithm="http://www.w3.org/2000/09/xmldsig#sha1"/>
        <DigestValue>pAawxvG4nLttNnn0w6CHEG+EnGw=</DigestValue>
      </Reference>
      <Reference URI="/word/settings.xml?ContentType=application/vnd.openxmlformats-officedocument.wordprocessingml.settings+xml">
        <DigestMethod Algorithm="http://www.w3.org/2000/09/xmldsig#sha1"/>
        <DigestValue>iJzRr40Y46v4dWFHmephiEHAJTA=</DigestValue>
      </Reference>
      <Reference URI="/word/styles.xml?ContentType=application/vnd.openxmlformats-officedocument.wordprocessingml.styles+xml">
        <DigestMethod Algorithm="http://www.w3.org/2000/09/xmldsig#sha1"/>
        <DigestValue>e58Q2ajMMot7Q+0yNV2oI+uF0Ro=</DigestValue>
      </Reference>
      <Reference URI="/word/theme/theme1.xml?ContentType=application/vnd.openxmlformats-officedocument.theme+xml">
        <DigestMethod Algorithm="http://www.w3.org/2000/09/xmldsig#sha1"/>
        <DigestValue>bE/+51KfWZ8uhEd4BuVIJXYrmXk=</DigestValue>
      </Reference>
      <Reference URI="/word/webSettings.xml?ContentType=application/vnd.openxmlformats-officedocument.wordprocessingml.webSettings+xml">
        <DigestMethod Algorithm="http://www.w3.org/2000/09/xmldsig#sha1"/>
        <DigestValue>/dj9SXeoYrof7EYu/SsU+ZQDnpA=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2017-10-19T14:13:44Z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Обращение в ФАС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Литвина-Седого, д.5 стр.1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2017-10-19T14:13:44Z</xd:SigningTime>
          <xd:SigningCertificate>
            <xd:Cert>
              <xd:CertDigest>
                <DigestMethod Algorithm="http://www.w3.org/2000/09/xmldsig#sha1"/>
                <DigestValue>AZ7aFHETGvLJgdDkY2c3I8mSVcs=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299094109148836672871729932140783172725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>123317</xd:PostalCode>
            <xd:CountryName>Россия</xd:CountryName>
          </xd:SignatureProductionPlace>
          <xd:SignerRole>
            <xd:ClaimedRoles>
              <xd:ClaimedRole>Генеральный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Обращение в ФАС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User-210</dc:creator>
  <cp:keywords/>
  <dc:description/>
  <cp:lastModifiedBy>User-210</cp:lastModifiedBy>
  <cp:revision>4</cp:revision>
  <dcterms:created xsi:type="dcterms:W3CDTF">2017-10-16T12:25:00Z</dcterms:created>
  <dcterms:modified xsi:type="dcterms:W3CDTF">2017-10-19T09:25:00Z</dcterms:modified>
</cp:coreProperties>
</file>