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A7" w:rsidRDefault="00D350A7" w:rsidP="00D350A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В Управление Федеральной антимонопольной службы </w:t>
      </w:r>
    </w:p>
    <w:p w:rsidR="00D350A7" w:rsidRDefault="00D350A7" w:rsidP="00D350A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18A4">
        <w:rPr>
          <w:rFonts w:ascii="Times New Roman" w:hAnsi="Times New Roman" w:cs="Times New Roman"/>
          <w:b/>
          <w:sz w:val="24"/>
          <w:szCs w:val="24"/>
        </w:rPr>
        <w:t>Омской</w:t>
      </w:r>
      <w:r w:rsidR="00CB299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02616" w:rsidRPr="00A02616" w:rsidRDefault="00A02616" w:rsidP="00A0261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616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A02616" w:rsidRPr="0010603B" w:rsidRDefault="00A02616" w:rsidP="00A0261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616">
        <w:rPr>
          <w:rFonts w:ascii="Times New Roman" w:hAnsi="Times New Roman" w:cs="Times New Roman"/>
          <w:sz w:val="24"/>
          <w:szCs w:val="24"/>
        </w:rPr>
        <w:t>Телефон/факс: (3812) 32-06-96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6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603B">
        <w:rPr>
          <w:rFonts w:ascii="Times New Roman" w:hAnsi="Times New Roman" w:cs="Times New Roman"/>
          <w:sz w:val="24"/>
          <w:szCs w:val="24"/>
        </w:rPr>
        <w:t>-</w:t>
      </w:r>
      <w:r w:rsidRPr="00A026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6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026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10603B">
          <w:rPr>
            <w:rStyle w:val="a3"/>
            <w:rFonts w:ascii="Times New Roman" w:hAnsi="Times New Roman" w:cs="Times New Roman"/>
            <w:sz w:val="24"/>
            <w:szCs w:val="24"/>
          </w:rPr>
          <w:t>55@</w:t>
        </w:r>
        <w:proofErr w:type="spellStart"/>
        <w:r w:rsidRPr="00A026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fas</w:t>
        </w:r>
        <w:proofErr w:type="spellEnd"/>
        <w:r w:rsidRPr="00106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26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06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26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1B63" w:rsidRDefault="00F21B63" w:rsidP="00A0261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Аблюкова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Бронницы, ул. Мкр. Марьинский, д. 2, кв. 35</w:t>
      </w:r>
      <w:r w:rsidRPr="005A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63" w:rsidRPr="00E442D6" w:rsidRDefault="00F21B63" w:rsidP="00F21B6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442D6">
        <w:rPr>
          <w:rFonts w:ascii="Times New Roman" w:hAnsi="Times New Roman" w:cs="Times New Roman"/>
          <w:sz w:val="24"/>
          <w:szCs w:val="24"/>
        </w:rPr>
        <w:t xml:space="preserve"> 732895107688, 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2D6">
        <w:rPr>
          <w:rFonts w:ascii="Times New Roman" w:hAnsi="Times New Roman" w:cs="Times New Roman"/>
          <w:sz w:val="24"/>
          <w:szCs w:val="24"/>
        </w:rPr>
        <w:t>-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2D6">
          <w:rPr>
            <w:rFonts w:ascii="Times New Roman" w:hAnsi="Times New Roman" w:cs="Times New Roman"/>
            <w:sz w:val="24"/>
            <w:szCs w:val="24"/>
          </w:rPr>
          <w:t>89153135202@</w:t>
        </w:r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42D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E442D6">
        <w:rPr>
          <w:rFonts w:ascii="Times New Roman" w:hAnsi="Times New Roman" w:cs="Times New Roman"/>
          <w:sz w:val="24"/>
          <w:szCs w:val="24"/>
        </w:rPr>
        <w:t>. 8-915-313-52-02</w:t>
      </w:r>
    </w:p>
    <w:p w:rsidR="00843D8E" w:rsidRDefault="00843D8E" w:rsidP="00931B5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1B57" w:rsidRPr="005A0358" w:rsidRDefault="00931B57" w:rsidP="0093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Заказчика и его закупочную комиссию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по 44-ФЗ</w:t>
      </w:r>
    </w:p>
    <w:p w:rsidR="00931B57" w:rsidRPr="005A0358" w:rsidRDefault="00931B57" w:rsidP="00931B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B57" w:rsidRDefault="00931B57" w:rsidP="00931B5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B">
        <w:rPr>
          <w:rFonts w:ascii="Times New Roman" w:hAnsi="Times New Roman" w:cs="Times New Roman"/>
          <w:sz w:val="24"/>
          <w:szCs w:val="24"/>
        </w:rPr>
        <w:t>БЮДЖЕТНОЕ УЧРЕЖДЕНИЕ ЗДРАВООХРАНЕНИЯ ОМСКОЙ ОБЛАСТИ "ГОРОДСКАЯ ПОЛИКЛИНИКА № 10"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Сокращённое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B">
        <w:rPr>
          <w:rFonts w:ascii="Times New Roman" w:hAnsi="Times New Roman" w:cs="Times New Roman"/>
          <w:sz w:val="24"/>
          <w:szCs w:val="24"/>
        </w:rPr>
        <w:t>БУЗОО "ГП № 10"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Полномочия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B">
        <w:rPr>
          <w:rFonts w:ascii="Times New Roman" w:hAnsi="Times New Roman" w:cs="Times New Roman"/>
          <w:sz w:val="24"/>
          <w:szCs w:val="24"/>
        </w:rPr>
        <w:t>Заказчик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ИНН5505013642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ОГРН1025501179670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КПП550501001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Реестровый номер в ЕИС03523000183</w:t>
      </w:r>
    </w:p>
    <w:p w:rsid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53C0">
          <w:rPr>
            <w:rStyle w:val="a3"/>
            <w:rFonts w:ascii="Times New Roman" w:hAnsi="Times New Roman" w:cs="Times New Roman"/>
            <w:sz w:val="24"/>
            <w:szCs w:val="24"/>
          </w:rPr>
          <w:t>gp10pr@mail.ru</w:t>
        </w:r>
      </w:hyperlink>
    </w:p>
    <w:p w:rsid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Телефон7-3812-420598</w:t>
      </w:r>
    </w:p>
    <w:p w:rsid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B57" w:rsidRDefault="00931B57" w:rsidP="001060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C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Pr="003629C2">
        <w:rPr>
          <w:rFonts w:ascii="Times New Roman" w:hAnsi="Times New Roman" w:cs="Times New Roman"/>
          <w:b/>
          <w:sz w:val="24"/>
          <w:szCs w:val="24"/>
        </w:rPr>
        <w:t>комиссии.</w:t>
      </w:r>
    </w:p>
    <w:p w:rsidR="0010603B" w:rsidRPr="00FB12F9" w:rsidRDefault="0010603B" w:rsidP="0010603B">
      <w:pPr>
        <w:pStyle w:val="ab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lang w:bidi="hi-IN"/>
        </w:rPr>
      </w:pPr>
      <w:r w:rsidRPr="00FB12F9">
        <w:rPr>
          <w:rFonts w:ascii="Times New Roman" w:hAnsi="Times New Roman" w:cs="Times New Roman"/>
          <w:lang w:eastAsia="zh-CN" w:bidi="hi-IN"/>
        </w:rPr>
        <w:t>На заседан</w:t>
      </w:r>
      <w:proofErr w:type="gramStart"/>
      <w:r w:rsidRPr="00FB12F9">
        <w:rPr>
          <w:rFonts w:ascii="Times New Roman" w:hAnsi="Times New Roman" w:cs="Times New Roman"/>
          <w:lang w:eastAsia="zh-CN" w:bidi="hi-IN"/>
        </w:rPr>
        <w:t>ии ау</w:t>
      </w:r>
      <w:proofErr w:type="gramEnd"/>
      <w:r w:rsidRPr="00FB12F9">
        <w:rPr>
          <w:rFonts w:ascii="Times New Roman" w:hAnsi="Times New Roman" w:cs="Times New Roman"/>
          <w:lang w:eastAsia="zh-CN" w:bidi="hi-IN"/>
        </w:rPr>
        <w:t>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10603B" w:rsidRPr="00FB12F9" w:rsidTr="004B1592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2F9">
              <w:rPr>
                <w:rFonts w:ascii="Times New Roman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2F9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2F9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Казанцева Татьяна Ивановна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2F9">
              <w:rPr>
                <w:rFonts w:ascii="Times New Roman" w:hAnsi="Times New Roman" w:cs="Times New Roman"/>
              </w:rPr>
              <w:t>Шипкова</w:t>
            </w:r>
            <w:proofErr w:type="spellEnd"/>
            <w:r w:rsidRPr="00FB12F9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2F9">
              <w:rPr>
                <w:rFonts w:ascii="Times New Roman" w:hAnsi="Times New Roman" w:cs="Times New Roman"/>
              </w:rPr>
              <w:t>Пальман</w:t>
            </w:r>
            <w:proofErr w:type="spellEnd"/>
            <w:r w:rsidRPr="00FB12F9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Чумакова Анна Андреевна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2F9">
              <w:rPr>
                <w:rFonts w:ascii="Times New Roman" w:hAnsi="Times New Roman" w:cs="Times New Roman"/>
              </w:rPr>
              <w:t>Долишняк</w:t>
            </w:r>
            <w:proofErr w:type="spellEnd"/>
            <w:r w:rsidRPr="00FB12F9">
              <w:rPr>
                <w:rFonts w:ascii="Times New Roman" w:hAnsi="Times New Roman" w:cs="Times New Roman"/>
              </w:rPr>
              <w:t xml:space="preserve"> Олеся Васильевна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10603B" w:rsidRPr="00FB12F9" w:rsidTr="004B1592">
        <w:tc>
          <w:tcPr>
            <w:tcW w:w="4111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2F9">
              <w:rPr>
                <w:rFonts w:ascii="Times New Roman" w:hAnsi="Times New Roman" w:cs="Times New Roman"/>
              </w:rPr>
              <w:t>Носань</w:t>
            </w:r>
            <w:proofErr w:type="spellEnd"/>
            <w:r w:rsidRPr="00FB12F9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977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0603B" w:rsidRPr="00FB12F9" w:rsidRDefault="0010603B" w:rsidP="004B15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2F9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:rsidR="0010603B" w:rsidRPr="00FB12F9" w:rsidRDefault="0010603B" w:rsidP="0010603B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lang w:eastAsia="zh-CN" w:bidi="hi-IN"/>
        </w:rPr>
      </w:pPr>
      <w:r w:rsidRPr="00FB12F9">
        <w:rPr>
          <w:rFonts w:ascii="Times New Roman" w:hAnsi="Times New Roman" w:cs="Times New Roman"/>
          <w:lang w:eastAsia="zh-CN" w:bidi="hi-IN"/>
        </w:rPr>
        <w:t>Всего на заседании присутствовало 6 член</w:t>
      </w:r>
      <w:proofErr w:type="gramStart"/>
      <w:r w:rsidRPr="00FB12F9">
        <w:rPr>
          <w:rFonts w:ascii="Times New Roman" w:hAnsi="Times New Roman" w:cs="Times New Roman"/>
          <w:lang w:eastAsia="zh-CN" w:bidi="hi-IN"/>
        </w:rPr>
        <w:t>а(</w:t>
      </w:r>
      <w:proofErr w:type="spellStart"/>
      <w:proofErr w:type="gramEnd"/>
      <w:r w:rsidRPr="00FB12F9">
        <w:rPr>
          <w:rFonts w:ascii="Times New Roman" w:hAnsi="Times New Roman" w:cs="Times New Roman"/>
          <w:lang w:eastAsia="zh-CN" w:bidi="hi-IN"/>
        </w:rPr>
        <w:t>ов</w:t>
      </w:r>
      <w:proofErr w:type="spellEnd"/>
      <w:r w:rsidRPr="00FB12F9">
        <w:rPr>
          <w:rFonts w:ascii="Times New Roman" w:hAnsi="Times New Roman" w:cs="Times New Roman"/>
          <w:lang w:eastAsia="zh-CN" w:bidi="hi-IN"/>
        </w:rPr>
        <w:t>) аукционной комиссии. Кворум имеется. Заседание правомочно.</w:t>
      </w:r>
    </w:p>
    <w:p w:rsidR="009F2456" w:rsidRDefault="009F2456" w:rsidP="009F24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67" w:rsidRPr="00CB6667" w:rsidRDefault="00931B57" w:rsidP="00CB666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67">
        <w:rPr>
          <w:rFonts w:ascii="Times New Roman" w:hAnsi="Times New Roman" w:cs="Times New Roman"/>
          <w:b/>
          <w:sz w:val="24"/>
          <w:szCs w:val="24"/>
        </w:rPr>
        <w:t>Сведения о закупке: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Статус</w:t>
      </w:r>
      <w:r w:rsidRPr="0010603B">
        <w:rPr>
          <w:rFonts w:ascii="Times New Roman" w:hAnsi="Times New Roman" w:cs="Times New Roman"/>
          <w:sz w:val="24"/>
          <w:szCs w:val="24"/>
        </w:rPr>
        <w:tab/>
        <w:t>Заключение контрактов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Способ закупки</w:t>
      </w:r>
      <w:r w:rsidRPr="0010603B">
        <w:rPr>
          <w:rFonts w:ascii="Times New Roman" w:hAnsi="Times New Roman" w:cs="Times New Roman"/>
          <w:sz w:val="24"/>
          <w:szCs w:val="24"/>
        </w:rPr>
        <w:tab/>
        <w:t>Электронный аукцион (71 ФЗ)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Адрес электронной площадки в сети Интернет</w:t>
      </w:r>
      <w:r w:rsidRPr="0010603B">
        <w:rPr>
          <w:rFonts w:ascii="Times New Roman" w:hAnsi="Times New Roman" w:cs="Times New Roman"/>
          <w:sz w:val="24"/>
          <w:szCs w:val="24"/>
        </w:rPr>
        <w:tab/>
        <w:t>http://www.rts-tender.ru</w:t>
      </w:r>
    </w:p>
    <w:p w:rsidR="0010603B" w:rsidRP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Номер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0603B">
        <w:rPr>
          <w:rFonts w:ascii="Times New Roman" w:hAnsi="Times New Roman" w:cs="Times New Roman"/>
          <w:b/>
          <w:sz w:val="24"/>
          <w:szCs w:val="24"/>
        </w:rPr>
        <w:t>0352300018320000034</w:t>
      </w:r>
      <w:r w:rsidRPr="0010603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9F2456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3B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10603B">
        <w:rPr>
          <w:rFonts w:ascii="Times New Roman" w:hAnsi="Times New Roman" w:cs="Times New Roman"/>
          <w:sz w:val="24"/>
          <w:szCs w:val="24"/>
        </w:rPr>
        <w:tab/>
        <w:t>Оказание услуг по повышению квалификации медицинских работников</w:t>
      </w:r>
    </w:p>
    <w:p w:rsidR="0010603B" w:rsidRDefault="0010603B" w:rsidP="001060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038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Доводы жалобы.</w:t>
      </w:r>
    </w:p>
    <w:p w:rsidR="00166F17" w:rsidRDefault="00572BA9" w:rsidP="00166F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24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.06.2020</w:t>
      </w:r>
      <w:r w:rsidR="00166F17">
        <w:rPr>
          <w:rFonts w:ascii="Times New Roman" w:hAnsi="Times New Roman" w:cs="Times New Roman"/>
          <w:sz w:val="24"/>
          <w:szCs w:val="24"/>
        </w:rPr>
        <w:t xml:space="preserve"> Заказчик опубликовал итоговый протокол аукциона, согласно которому:</w:t>
      </w:r>
    </w:p>
    <w:tbl>
      <w:tblPr>
        <w:tblW w:w="97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5055"/>
        <w:gridCol w:w="2355"/>
        <w:gridCol w:w="7"/>
      </w:tblGrid>
      <w:tr w:rsidR="00A4344C" w:rsidRPr="00A4344C" w:rsidTr="00666CF0">
        <w:trPr>
          <w:trHeight w:val="1560"/>
          <w:tblCellSpacing w:w="0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4344C" w:rsidRPr="00A4344C" w:rsidRDefault="00A4344C" w:rsidP="00A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4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Идентификационный номер заявки</w:t>
            </w:r>
          </w:p>
        </w:tc>
        <w:tc>
          <w:tcPr>
            <w:tcW w:w="5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4344C" w:rsidRPr="00A4344C" w:rsidRDefault="00A4344C" w:rsidP="00A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4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об участнике закупки, вторая часть заявки на </w:t>
            </w:r>
            <w:proofErr w:type="gramStart"/>
            <w:r w:rsidRPr="00A4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участие</w:t>
            </w:r>
            <w:proofErr w:type="gramEnd"/>
            <w:r w:rsidRPr="00A4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 электронном аукционе которого рассматривалась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4344C" w:rsidRPr="00A4344C" w:rsidRDefault="00A4344C" w:rsidP="00A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4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44C" w:rsidRPr="00A4344C" w:rsidRDefault="00A4344C" w:rsidP="00A4344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4344C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10603B" w:rsidRPr="00A4344C" w:rsidTr="003E1474">
        <w:trPr>
          <w:trHeight w:val="555"/>
          <w:tblCellSpacing w:w="0" w:type="dxa"/>
        </w:trPr>
        <w:tc>
          <w:tcPr>
            <w:tcW w:w="2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107719998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ИП АБЛЮКОВА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03B" w:rsidRPr="00A4344C" w:rsidRDefault="0010603B" w:rsidP="00A4344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10603B" w:rsidRPr="00A4344C" w:rsidTr="003E1474">
        <w:trPr>
          <w:trHeight w:val="1305"/>
          <w:tblCellSpacing w:w="0" w:type="dxa"/>
        </w:trPr>
        <w:tc>
          <w:tcPr>
            <w:tcW w:w="2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107723386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03B" w:rsidRPr="00A4344C" w:rsidRDefault="0010603B" w:rsidP="00A4344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10603B" w:rsidRPr="00A4344C" w:rsidTr="003E1474">
        <w:trPr>
          <w:trHeight w:val="1560"/>
          <w:tblCellSpacing w:w="0" w:type="dxa"/>
        </w:trPr>
        <w:tc>
          <w:tcPr>
            <w:tcW w:w="2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107727962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ЧАСТНОЕ УЧРЕЖДЕНИЕ ДОПОЛНИТЕЛЬНОГО ПРОФЕССИОНАЛЬНОГО ОБРАЗОВАНИЯ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03B" w:rsidRPr="00A4344C" w:rsidRDefault="0010603B" w:rsidP="00A4344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10603B" w:rsidRPr="00A4344C" w:rsidTr="003E1474">
        <w:trPr>
          <w:trHeight w:val="1050"/>
          <w:tblCellSpacing w:w="0" w:type="dxa"/>
        </w:trPr>
        <w:tc>
          <w:tcPr>
            <w:tcW w:w="2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107683480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БЮДЖЕТНОЕ УЧРЕЖДЕНИЕ ДОПОЛНИТЕЛЬНОГО ПРОФЕССИОНАЛЬНОГО ОБРАЗОВАНИЯ ОМСКОЙ ОБЛАСТИ "ЦЕНТР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03B" w:rsidRDefault="001060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03B" w:rsidRPr="00A4344C" w:rsidRDefault="0010603B" w:rsidP="00A4344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</w:tbl>
    <w:p w:rsidR="00A4344C" w:rsidRDefault="00A4344C" w:rsidP="00166F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F17" w:rsidRDefault="00166F17" w:rsidP="00166F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электронных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мною было подано лучшее ценовое предложение и моя заявка заняла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место, но была отклонена аукционной комиссией Заказчика. Закупочная комиссия Заказчика обязана была признать меня победителем определения поставщика (подрядчика, исполнителя).</w:t>
      </w:r>
    </w:p>
    <w:p w:rsidR="00166F17" w:rsidRDefault="00166F17" w:rsidP="00166F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настоящей жалобы </w:t>
      </w:r>
      <w:r w:rsidRPr="00FA4C41">
        <w:rPr>
          <w:rFonts w:ascii="Times New Roman" w:hAnsi="Times New Roman" w:cs="Times New Roman"/>
          <w:sz w:val="24"/>
          <w:szCs w:val="24"/>
        </w:rPr>
        <w:t xml:space="preserve">на действия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FA4C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отклонению моей заявки от определения поставщика прошу Комиссию УФАС обратить внимание на то обстоятельство, что среди прочего видами моей деятельности, как ИП, являются: </w:t>
      </w:r>
    </w:p>
    <w:p w:rsidR="00E315E3" w:rsidRPr="00D95EC4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C4">
        <w:rPr>
          <w:rFonts w:ascii="Times New Roman" w:hAnsi="Times New Roman" w:cs="Times New Roman"/>
          <w:sz w:val="24"/>
          <w:szCs w:val="24"/>
        </w:rPr>
        <w:t>85.11 Образование дошкольное</w:t>
      </w:r>
    </w:p>
    <w:p w:rsidR="00E315E3" w:rsidRPr="00D95EC4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C4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</w:p>
    <w:p w:rsidR="00E315E3" w:rsidRPr="00D95EC4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C4">
        <w:rPr>
          <w:rFonts w:ascii="Times New Roman" w:hAnsi="Times New Roman" w:cs="Times New Roman"/>
          <w:sz w:val="24"/>
          <w:szCs w:val="24"/>
        </w:rPr>
        <w:t>85.30 Обучение профессиональное</w:t>
      </w:r>
    </w:p>
    <w:p w:rsidR="00E315E3" w:rsidRPr="00D95EC4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C4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C4">
        <w:rPr>
          <w:rFonts w:ascii="Times New Roman" w:hAnsi="Times New Roman" w:cs="Times New Roman"/>
          <w:sz w:val="24"/>
          <w:szCs w:val="24"/>
        </w:rPr>
        <w:t>85.42 Образование профессиональное дополнительное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системному толкованию пунктов 17 – 20 статьи 2, части 1 статьи 15, частей 1 - 2 статьи 21, части 1 статьи 32, частей 1 и 2 статьи 91 </w:t>
      </w:r>
      <w:r w:rsidRPr="00F57D83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8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осуществляющих образовательную деятельность без привлечения педагогических работников, включая реализацию образовательных программ посредством сетевой формы обучения, образовательная лицензия не требуется.</w:t>
      </w:r>
      <w:proofErr w:type="gramEnd"/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понимания следует иметь в виду, что по смыслу закона об образовании сетевая форма обучения объединяет ресурсы разных хозяйствующих субъектов, не все из которых обязаны обладать образовательной лицензией (практика или стажировка, например).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Pr="001E5AB4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того, указанную в техническом задании закупки программу я могла бы в соответствии с требованиями Закона об образовании предоставить </w:t>
      </w:r>
      <w:r w:rsidRPr="00DB3080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слушателям, то есть без привлечения по найму преподавательского состава, и в таком случае лицензия на образовательную деятельность не требуется, поскольку согласно положениям части 2 статьи 91 </w:t>
      </w:r>
      <w:r w:rsidRPr="001E5AB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A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AB4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Соискателями лицензии на</w:t>
      </w:r>
      <w:proofErr w:type="gramEnd"/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осуществление образовательной деятельности являются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организации, осуществляющие обучение, а также индивидуальные предприниматели,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1E5AB4">
        <w:rPr>
          <w:rFonts w:ascii="Times New Roman" w:hAnsi="Times New Roman" w:cs="Times New Roman"/>
          <w:b/>
          <w:sz w:val="24"/>
          <w:szCs w:val="24"/>
        </w:rPr>
        <w:t>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Pr="00E50522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E50522">
        <w:rPr>
          <w:rFonts w:ascii="Times New Roman" w:hAnsi="Times New Roman" w:cs="Times New Roman"/>
          <w:sz w:val="24"/>
          <w:szCs w:val="24"/>
        </w:rPr>
        <w:t xml:space="preserve">Письмом Минфина России от 21.02.2018 № 24-02-03/11100 «О </w:t>
      </w:r>
      <w:proofErr w:type="gramStart"/>
      <w:r w:rsidRPr="00E50522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E50522">
        <w:rPr>
          <w:rFonts w:ascii="Times New Roman" w:hAnsi="Times New Roman" w:cs="Times New Roman"/>
          <w:sz w:val="24"/>
          <w:szCs w:val="24"/>
        </w:rPr>
        <w:t xml:space="preserve"> о наличии лицензии в отношении работ, не являющихся самостоятельным объектом закупки; о действиях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>а при отсутствии лицензии во второй части заявки на участие в ЭА» установлено следующее: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«Если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вправе требовать наличия такого документа у участника закупки.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>При этом следует иметь в виду, что в силу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Минэкономразвития РФ, а именно Минфин РФ является органом, имеющим полномочия давать разъяснения по Контрактной системе, включая разъяснения положений Федерального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Извещении Заказчика установлены следующие требования:</w:t>
      </w:r>
    </w:p>
    <w:tbl>
      <w:tblPr>
        <w:tblW w:w="7967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5978"/>
      </w:tblGrid>
      <w:tr w:rsidR="00E315E3" w:rsidRPr="00E315E3" w:rsidTr="00E315E3">
        <w:trPr>
          <w:tblHeader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120" w:type="dxa"/>
            </w:tcMar>
            <w:vAlign w:val="bottom"/>
            <w:hideMark/>
          </w:tcPr>
          <w:p w:rsidR="00E315E3" w:rsidRPr="008C6E55" w:rsidRDefault="00E315E3" w:rsidP="00FC502F">
            <w:pPr>
              <w:pStyle w:val="a4"/>
              <w:rPr>
                <w:rFonts w:eastAsia="Times New Roman"/>
              </w:rPr>
            </w:pPr>
            <w:r w:rsidRPr="008C6E55">
              <w:rPr>
                <w:rFonts w:eastAsia="Times New Roman"/>
              </w:rPr>
              <w:t>КОД ПОЗИЦИИ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120" w:type="dxa"/>
            </w:tcMar>
            <w:vAlign w:val="bottom"/>
            <w:hideMark/>
          </w:tcPr>
          <w:p w:rsidR="00E315E3" w:rsidRPr="008C6E55" w:rsidRDefault="00E315E3" w:rsidP="00FC502F">
            <w:pPr>
              <w:pStyle w:val="a4"/>
              <w:rPr>
                <w:rFonts w:eastAsia="Times New Roman"/>
              </w:rPr>
            </w:pPr>
            <w:r w:rsidRPr="008C6E55">
              <w:rPr>
                <w:rFonts w:eastAsia="Times New Roman"/>
              </w:rPr>
              <w:t>НАИМЕНОВАНИЕ ТОВАРА, РАБОТЫ, УСЛУГИ ПО КТРУ</w:t>
            </w:r>
          </w:p>
        </w:tc>
      </w:tr>
      <w:tr w:rsidR="008C6E55" w:rsidRPr="00E315E3" w:rsidTr="00E315E3">
        <w:tc>
          <w:tcPr>
            <w:tcW w:w="0" w:type="auto"/>
            <w:tcMar>
              <w:top w:w="240" w:type="dxa"/>
              <w:left w:w="240" w:type="dxa"/>
              <w:bottom w:w="240" w:type="dxa"/>
              <w:right w:w="120" w:type="dxa"/>
            </w:tcMar>
            <w:vAlign w:val="bottom"/>
            <w:hideMark/>
          </w:tcPr>
          <w:p w:rsidR="008C6E55" w:rsidRPr="008C6E55" w:rsidRDefault="00FC502F" w:rsidP="00FC502F">
            <w:pPr>
              <w:pStyle w:val="a4"/>
              <w:rPr>
                <w:rFonts w:ascii="Roboto" w:hAnsi="Roboto"/>
                <w:sz w:val="21"/>
                <w:szCs w:val="21"/>
              </w:rPr>
            </w:pPr>
            <w:r w:rsidRPr="00FC502F">
              <w:rPr>
                <w:rFonts w:ascii="Roboto" w:hAnsi="Roboto"/>
                <w:sz w:val="21"/>
                <w:szCs w:val="21"/>
              </w:rPr>
              <w:t>85.42.19.900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120" w:type="dxa"/>
            </w:tcMar>
            <w:vAlign w:val="bottom"/>
            <w:hideMark/>
          </w:tcPr>
          <w:p w:rsidR="008C6E55" w:rsidRPr="008C6E55" w:rsidRDefault="00FC502F" w:rsidP="00FC502F">
            <w:pPr>
              <w:pStyle w:val="a4"/>
              <w:rPr>
                <w:rFonts w:ascii="Roboto" w:hAnsi="Roboto"/>
                <w:sz w:val="21"/>
                <w:szCs w:val="21"/>
              </w:rPr>
            </w:pPr>
            <w:r w:rsidRPr="00FC502F">
              <w:rPr>
                <w:rFonts w:ascii="Roboto" w:hAnsi="Roboto"/>
                <w:sz w:val="21"/>
                <w:szCs w:val="21"/>
              </w:rPr>
              <w:t>Услуги по профессиональному обучению прочие</w:t>
            </w:r>
          </w:p>
        </w:tc>
      </w:tr>
    </w:tbl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следует, что объектом закупки является </w:t>
      </w:r>
      <w:r w:rsidRPr="00495CF8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5E3" w:rsidRDefault="00E315E3" w:rsidP="00E315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3 статьи 32 </w:t>
      </w:r>
      <w:r w:rsidRPr="0061111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1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119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1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предусмотрено, что </w:t>
      </w:r>
      <w:r w:rsidRPr="0061111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</w:t>
      </w: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программам профессионального обучения</w:t>
      </w:r>
      <w:r w:rsidRPr="00611119">
        <w:rPr>
          <w:rFonts w:ascii="Times New Roman" w:hAnsi="Times New Roman" w:cs="Times New Roman"/>
          <w:sz w:val="24"/>
          <w:szCs w:val="24"/>
        </w:rPr>
        <w:t>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согласно части 2 статьи 91 Закона об образовании 273-ФЗ с</w:t>
      </w:r>
      <w:r w:rsidRPr="00611119">
        <w:rPr>
          <w:rFonts w:ascii="Times New Roman" w:hAnsi="Times New Roman" w:cs="Times New Roman"/>
          <w:sz w:val="24"/>
          <w:szCs w:val="24"/>
        </w:rP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Pr="00611119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Соответственно, мне для участия в данной закупке лицензия не требуется.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то же время, Заказчиком определен победитель электронного аукциона </w:t>
      </w:r>
      <w:r w:rsidRPr="00427D32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</w:r>
      <w:r>
        <w:rPr>
          <w:rFonts w:ascii="Times New Roman" w:hAnsi="Times New Roman" w:cs="Times New Roman"/>
          <w:sz w:val="24"/>
          <w:szCs w:val="24"/>
        </w:rPr>
        <w:t>, чья заявка признана соответствующей требованиям аукционной документации. В данном случае победитель определен необоснованно ввиду следующего.</w:t>
      </w:r>
    </w:p>
    <w:p w:rsidR="00666CF0" w:rsidRDefault="00666CF0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части 2 статьи 10 </w:t>
      </w:r>
      <w:r w:rsidRPr="00AA6D20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от 29.12.2012 N 273-ФЗ </w:t>
      </w:r>
      <w:r w:rsidRPr="00AA6D2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бразование подразделяется на </w:t>
      </w:r>
      <w:r>
        <w:rPr>
          <w:rFonts w:ascii="Times New Roman" w:hAnsi="Times New Roman" w:cs="Times New Roman"/>
          <w:sz w:val="24"/>
          <w:szCs w:val="24"/>
        </w:rPr>
        <w:t>1)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бщее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6D20">
        <w:rPr>
          <w:rFonts w:ascii="Times New Roman" w:hAnsi="Times New Roman" w:cs="Times New Roman"/>
          <w:sz w:val="24"/>
          <w:szCs w:val="24"/>
        </w:rPr>
        <w:t>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7A49E9" w:rsidRDefault="007A49E9" w:rsidP="007A49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2 статьи 91 закона об образовании и </w:t>
      </w:r>
      <w:r w:rsidRPr="00B61B9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1B90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"О лицензировании образовательной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(вместе с "Положением о лицензировании образовательной деятельности")</w:t>
      </w:r>
      <w:r>
        <w:rPr>
          <w:rFonts w:ascii="Times New Roman" w:hAnsi="Times New Roman" w:cs="Times New Roman"/>
          <w:sz w:val="24"/>
          <w:szCs w:val="24"/>
        </w:rPr>
        <w:t>, лицензия на каждый вид и подвид образовательной деятельности выдается отдельно.</w:t>
      </w:r>
    </w:p>
    <w:p w:rsidR="007A49E9" w:rsidRDefault="007A49E9" w:rsidP="007A49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6201C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15E3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E31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15E3">
        <w:rPr>
          <w:rFonts w:ascii="Times New Roman" w:hAnsi="Times New Roman" w:cs="Times New Roman"/>
          <w:sz w:val="24"/>
          <w:szCs w:val="24"/>
        </w:rPr>
        <w:t xml:space="preserve"> чтобы соответствовать объекту закупки победитель аукциона должен обладать лицензией на такой вид образования, как </w:t>
      </w:r>
      <w:r w:rsidR="00E315E3" w:rsidRPr="00EC28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профессиональное обучение </w:t>
      </w:r>
      <w:r w:rsidR="00E315E3">
        <w:rPr>
          <w:rFonts w:ascii="Times New Roman" w:hAnsi="Times New Roman" w:cs="Times New Roman"/>
          <w:sz w:val="24"/>
          <w:szCs w:val="24"/>
        </w:rPr>
        <w:t xml:space="preserve">(которое индивидуальными предпринимателями реализуется без лицензии). </w:t>
      </w:r>
    </w:p>
    <w:p w:rsidR="00E315E3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из информации в открытых источниках сети «Интернет» следует, что победитель аукциона имеет лицензию только на </w:t>
      </w:r>
      <w:r w:rsidRPr="00EC288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профессиональное </w:t>
      </w:r>
      <w:r w:rsidRPr="00EC2880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, а лицензию на профессиональное обучение, которое и является объектом закупки, участник закупки, признанный победителем, не имеет.</w:t>
      </w:r>
    </w:p>
    <w:p w:rsidR="00E315E3" w:rsidRDefault="00E315E3" w:rsidP="00E315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629A2D" wp14:editId="5CC182D8">
            <wp:extent cx="5934075" cy="31486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411" t="13113" r="7211" b="5360"/>
                    <a:stretch/>
                  </pic:blipFill>
                  <pic:spPr bwMode="auto">
                    <a:xfrm>
                      <a:off x="0" y="0"/>
                      <a:ext cx="5930906" cy="314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E3" w:rsidRDefault="00E315E3" w:rsidP="00E315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1C3" w:rsidRDefault="006201C3" w:rsidP="006201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7C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доводов Жалобы и их обоснования представляю Решение </w:t>
      </w:r>
      <w:r w:rsidRPr="00E1520B">
        <w:rPr>
          <w:rFonts w:ascii="Times New Roman" w:hAnsi="Times New Roman" w:cs="Times New Roman"/>
          <w:sz w:val="24"/>
          <w:szCs w:val="24"/>
        </w:rPr>
        <w:t>по делу № 026/06/67-1042/2020 о нарушении законодательства о закупках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1520B">
        <w:rPr>
          <w:rFonts w:ascii="Times New Roman" w:hAnsi="Times New Roman" w:cs="Times New Roman"/>
          <w:sz w:val="24"/>
          <w:szCs w:val="24"/>
        </w:rPr>
        <w:t>13.05.2020 года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1520B">
        <w:rPr>
          <w:rFonts w:ascii="Times New Roman" w:hAnsi="Times New Roman" w:cs="Times New Roman"/>
          <w:sz w:val="24"/>
          <w:szCs w:val="24"/>
        </w:rPr>
        <w:t xml:space="preserve"> Управления Федеральной антимонопольной службы по Ставропольскому краю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6201C3" w:rsidRDefault="006201C3" w:rsidP="006201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1C3" w:rsidRDefault="006201C3" w:rsidP="006201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сообщаю, что 07 февраля 2020 года между мною, как ИП, и АНО ДПО «СТАВРОПОЛЬ-ПРОФИ» (ИНН 2623027004) заключен договор о сетевой форме реализации образовательных программ в рамках образовательной лицензии. </w:t>
      </w:r>
    </w:p>
    <w:p w:rsidR="006201C3" w:rsidRDefault="006201C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прошу обратить особое внимание на то обстоятельство, что аукционной комиссией Организатора при составлении итогового протокола проигнорированы требования частей 6, 7 и 8 статьи 69 </w:t>
      </w:r>
      <w:r w:rsidRPr="000817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709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0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667" w:rsidRDefault="00CB6667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03B" w:rsidRDefault="0010603B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заказчика и его закупочной комиссии наносят мне ущерб из-за применения пункта 27 статьи 44 закона 44-ФЗ.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80">
        <w:rPr>
          <w:rFonts w:ascii="Times New Roman" w:hAnsi="Times New Roman" w:cs="Times New Roman"/>
          <w:b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требованиями статей 99 и 106 Закона 44-ФЗ,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прошу отменить итоговый протокол рассмотрения вторых частей заявок в обжалуемом электронном аукционе и обязать Организатора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DB30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аукционную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мою заявку </w:t>
      </w:r>
      <w:r>
        <w:rPr>
          <w:rFonts w:ascii="Times New Roman" w:hAnsi="Times New Roman" w:cs="Times New Roman"/>
          <w:b/>
          <w:sz w:val="24"/>
          <w:szCs w:val="24"/>
        </w:rPr>
        <w:t>к определению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/>
          <w:sz w:val="24"/>
          <w:szCs w:val="24"/>
        </w:rPr>
        <w:t>вщика (подрядчика, исполнителя),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выдав им соответствующее предписание.  </w:t>
      </w: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прошу привлечь руководителя, должностных лиц контрактной службы и членов закупочной комиссии Заказчика к административной ответственности, предусмотренной частями 2</w:t>
      </w:r>
      <w:r w:rsidR="0051019C">
        <w:rPr>
          <w:rFonts w:ascii="Times New Roman" w:hAnsi="Times New Roman" w:cs="Times New Roman"/>
          <w:b/>
          <w:sz w:val="24"/>
          <w:szCs w:val="24"/>
        </w:rPr>
        <w:t>, 2.1</w:t>
      </w:r>
      <w:r>
        <w:rPr>
          <w:rFonts w:ascii="Times New Roman" w:hAnsi="Times New Roman" w:cs="Times New Roman"/>
          <w:b/>
          <w:sz w:val="24"/>
          <w:szCs w:val="24"/>
        </w:rPr>
        <w:t xml:space="preserve"> и 7 статьи 7.30 </w:t>
      </w:r>
      <w:r w:rsidRPr="00FF1559">
        <w:rPr>
          <w:rFonts w:ascii="Times New Roman" w:hAnsi="Times New Roman" w:cs="Times New Roman"/>
          <w:b/>
          <w:sz w:val="24"/>
          <w:szCs w:val="24"/>
        </w:rPr>
        <w:t>"Кодекс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55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правонарушениях" от 30.12.2001 N 195-ФЗ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E315E3" w:rsidRPr="00DB3080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B7">
        <w:rPr>
          <w:rFonts w:ascii="Times New Roman" w:hAnsi="Times New Roman" w:cs="Times New Roman"/>
          <w:b/>
          <w:sz w:val="24"/>
          <w:szCs w:val="24"/>
        </w:rPr>
        <w:t>ИП Аблюкова Анастасия Владимировна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B7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ЭЦП </w:t>
      </w:r>
      <w:r w:rsidR="00A4344C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2020 года </w:t>
      </w:r>
    </w:p>
    <w:p w:rsidR="005F4685" w:rsidRDefault="005F4685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685" w:rsidRDefault="005F4685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CF0" w:rsidRDefault="00666CF0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E9" w:rsidRDefault="007A49E9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685" w:rsidRPr="00B07CF4" w:rsidRDefault="005F4685" w:rsidP="005F4685">
      <w:pPr>
        <w:widowControl w:val="0"/>
        <w:jc w:val="center"/>
        <w:rPr>
          <w:b/>
          <w:sz w:val="28"/>
          <w:szCs w:val="28"/>
        </w:rPr>
      </w:pPr>
      <w:r w:rsidRPr="00B07CF4">
        <w:rPr>
          <w:b/>
          <w:sz w:val="28"/>
          <w:szCs w:val="28"/>
        </w:rPr>
        <w:lastRenderedPageBreak/>
        <w:t>РЕШЕНИЕ</w:t>
      </w:r>
    </w:p>
    <w:p w:rsidR="005F4685" w:rsidRPr="00B07CF4" w:rsidRDefault="005F4685" w:rsidP="005F4685">
      <w:pPr>
        <w:tabs>
          <w:tab w:val="center" w:pos="4818"/>
        </w:tabs>
        <w:jc w:val="center"/>
        <w:rPr>
          <w:b/>
          <w:color w:val="800000"/>
          <w:sz w:val="28"/>
          <w:szCs w:val="28"/>
        </w:rPr>
      </w:pPr>
      <w:r w:rsidRPr="00B07CF4">
        <w:rPr>
          <w:b/>
          <w:sz w:val="28"/>
          <w:szCs w:val="28"/>
        </w:rPr>
        <w:t>по делу № 026/06/67-1042/2020 о нарушении законодательства о закупках</w:t>
      </w:r>
    </w:p>
    <w:p w:rsidR="005F4685" w:rsidRPr="00AD57C2" w:rsidRDefault="005F4685" w:rsidP="005F4685">
      <w:pPr>
        <w:pStyle w:val="21"/>
        <w:jc w:val="both"/>
        <w:rPr>
          <w:sz w:val="28"/>
          <w:szCs w:val="28"/>
        </w:rPr>
      </w:pPr>
    </w:p>
    <w:p w:rsidR="005F4685" w:rsidRPr="00AB541C" w:rsidRDefault="005F4685" w:rsidP="005F4685">
      <w:pPr>
        <w:rPr>
          <w:sz w:val="28"/>
          <w:szCs w:val="28"/>
        </w:rPr>
      </w:pPr>
      <w:r>
        <w:rPr>
          <w:sz w:val="28"/>
          <w:szCs w:val="28"/>
        </w:rPr>
        <w:t>13.05.</w:t>
      </w:r>
      <w:r w:rsidRPr="00AD57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541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</w:t>
      </w:r>
      <w:r w:rsidRPr="00AB541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B541C">
        <w:rPr>
          <w:sz w:val="28"/>
          <w:szCs w:val="28"/>
        </w:rPr>
        <w:t xml:space="preserve">г. Ставрополь  </w:t>
      </w:r>
    </w:p>
    <w:p w:rsidR="005F4685" w:rsidRDefault="005F4685" w:rsidP="005F468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4685" w:rsidRPr="0081014B" w:rsidRDefault="005F4685" w:rsidP="005F4685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Комиссия Управления Федеральной антимонопольной службы по Ставропольскому краю по контролю в сфере закупок (далее – Комиссия) в составе:</w:t>
      </w:r>
    </w:p>
    <w:p w:rsidR="005F4685" w:rsidRPr="001527F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Зам</w:t>
      </w:r>
      <w:r>
        <w:rPr>
          <w:b w:val="0"/>
          <w:sz w:val="28"/>
          <w:szCs w:val="28"/>
          <w:lang w:val="ru-RU"/>
        </w:rPr>
        <w:t>еститель</w:t>
      </w:r>
      <w:r w:rsidRPr="001527F5">
        <w:rPr>
          <w:b w:val="0"/>
          <w:sz w:val="28"/>
          <w:szCs w:val="28"/>
        </w:rPr>
        <w:t xml:space="preserve"> председателя Комиссии, Врио начальника отдела контроля закупок Управления Федеральной антимонопольной службы по Ставропольскому краю Соколова Е. А.,</w:t>
      </w:r>
    </w:p>
    <w:p w:rsidR="005F4685" w:rsidRPr="00A738F4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Членов комиссии:</w:t>
      </w:r>
    </w:p>
    <w:p w:rsidR="005F4685" w:rsidRPr="00A738F4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ведущего специалиста-эксперта отдела контроля закупок Управления Федеральной антимонопольной службы по Ставропольскому краю Вишневской Е. В.,</w:t>
      </w:r>
    </w:p>
    <w:p w:rsidR="005F4685" w:rsidRPr="00A738F4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proofErr w:type="spellStart"/>
      <w:r w:rsidRPr="00A738F4">
        <w:rPr>
          <w:b w:val="0"/>
          <w:sz w:val="28"/>
          <w:szCs w:val="28"/>
        </w:rPr>
        <w:t>Рошевского</w:t>
      </w:r>
      <w:proofErr w:type="spellEnd"/>
      <w:r w:rsidRPr="00A738F4">
        <w:rPr>
          <w:b w:val="0"/>
          <w:sz w:val="28"/>
          <w:szCs w:val="28"/>
        </w:rPr>
        <w:t xml:space="preserve"> С. И.,</w:t>
      </w:r>
    </w:p>
    <w:p w:rsidR="005F4685" w:rsidRPr="00A738F4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специалиста-эксперта отдела контроля закупок Управления Федеральной антимонопольной службы по Ставропольскому краю Резцовой А. М.</w:t>
      </w:r>
    </w:p>
    <w:p w:rsidR="005F468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5F4685" w:rsidRPr="00A738F4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 присутствии представителей дистанционно по средством системы (программы) «</w:t>
      </w:r>
      <w:proofErr w:type="spellStart"/>
      <w:r w:rsidRPr="00A738F4">
        <w:rPr>
          <w:b w:val="0"/>
          <w:sz w:val="28"/>
          <w:szCs w:val="28"/>
        </w:rPr>
        <w:t>Видеомост</w:t>
      </w:r>
      <w:proofErr w:type="spellEnd"/>
      <w:r w:rsidRPr="00A738F4">
        <w:rPr>
          <w:b w:val="0"/>
          <w:sz w:val="28"/>
          <w:szCs w:val="28"/>
        </w:rPr>
        <w:t xml:space="preserve">» : </w:t>
      </w:r>
    </w:p>
    <w:p w:rsidR="005F468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5F468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от заказчика</w:t>
      </w:r>
      <w:r>
        <w:rPr>
          <w:b w:val="0"/>
          <w:sz w:val="28"/>
          <w:szCs w:val="28"/>
        </w:rPr>
        <w:t xml:space="preserve"> заявителя представители отсутствовали;</w:t>
      </w:r>
    </w:p>
    <w:p w:rsidR="005F468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5F4685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от заявителя представители отсутствовали</w:t>
      </w:r>
      <w:r w:rsidRPr="00A7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</w:p>
    <w:p w:rsidR="005F4685" w:rsidRPr="006A7A99" w:rsidRDefault="005F4685" w:rsidP="005F4685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5F4685" w:rsidRDefault="005F4685" w:rsidP="005F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F72EB">
        <w:rPr>
          <w:sz w:val="28"/>
          <w:szCs w:val="28"/>
        </w:rPr>
        <w:t>УСТАНОВИЛА:</w:t>
      </w:r>
    </w:p>
    <w:p w:rsidR="005F4685" w:rsidRDefault="005F4685" w:rsidP="005F4685">
      <w:pPr>
        <w:jc w:val="both"/>
        <w:rPr>
          <w:sz w:val="28"/>
          <w:szCs w:val="28"/>
        </w:rPr>
      </w:pPr>
    </w:p>
    <w:p w:rsidR="005F4685" w:rsidRPr="004C7574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7574">
        <w:rPr>
          <w:sz w:val="28"/>
          <w:szCs w:val="28"/>
        </w:rPr>
        <w:t xml:space="preserve">В Ставропольское УФАС России поступила жалоба </w:t>
      </w:r>
      <w:r w:rsidRPr="00473363">
        <w:rPr>
          <w:sz w:val="28"/>
          <w:szCs w:val="28"/>
        </w:rPr>
        <w:t>ООО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 xml:space="preserve"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</w:t>
      </w:r>
      <w:r w:rsidRPr="004C7574">
        <w:rPr>
          <w:sz w:val="28"/>
          <w:szCs w:val="28"/>
        </w:rPr>
        <w:lastRenderedPageBreak/>
        <w:t>специалистов, для обеспечения государственных нужд Ставропольского края».</w:t>
      </w:r>
      <w:proofErr w:type="gramEnd"/>
    </w:p>
    <w:p w:rsidR="005F4685" w:rsidRPr="00FA0D32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74">
        <w:rPr>
          <w:sz w:val="28"/>
          <w:szCs w:val="28"/>
        </w:rPr>
        <w:t>По мнению заявителя жалобы</w:t>
      </w:r>
      <w:r w:rsidRPr="00FA0D32">
        <w:rPr>
          <w:sz w:val="28"/>
          <w:szCs w:val="28"/>
        </w:rPr>
        <w:t xml:space="preserve"> действия заказчика при осуществлении закупки не соответствуют и нарушают требования Закона № 44-ФЗ.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t xml:space="preserve">Комиссия, проанализировав имеющиеся в деле документы, проведя </w:t>
      </w:r>
      <w:r>
        <w:rPr>
          <w:sz w:val="28"/>
          <w:szCs w:val="28"/>
        </w:rPr>
        <w:t xml:space="preserve">в соответствии со ст. 99 Закона </w:t>
      </w:r>
      <w:r w:rsidRPr="00AB541C">
        <w:rPr>
          <w:sz w:val="28"/>
          <w:szCs w:val="28"/>
        </w:rPr>
        <w:t xml:space="preserve">внеплановую проверку </w:t>
      </w:r>
      <w:r w:rsidRPr="00783426">
        <w:rPr>
          <w:sz w:val="28"/>
          <w:szCs w:val="28"/>
        </w:rPr>
        <w:t xml:space="preserve">закупки </w:t>
      </w:r>
      <w:r>
        <w:rPr>
          <w:sz w:val="28"/>
          <w:szCs w:val="28"/>
        </w:rPr>
        <w:t>установила</w:t>
      </w:r>
      <w:r w:rsidRPr="00AB541C">
        <w:rPr>
          <w:sz w:val="28"/>
          <w:szCs w:val="28"/>
        </w:rPr>
        <w:t>: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В соответствии с ч. 1 ст. 69 Закона о контрактной системе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  <w:proofErr w:type="gramEnd"/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ч. 6 ст.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непредставления документов и информации, которые предусмотрены </w:t>
      </w:r>
      <w:hyperlink r:id="rId10" w:history="1">
        <w:r w:rsidRPr="00783426">
          <w:rPr>
            <w:sz w:val="28"/>
            <w:szCs w:val="28"/>
          </w:rPr>
          <w:t>частью 11 статьи 24.1</w:t>
        </w:r>
      </w:hyperlink>
      <w:r>
        <w:rPr>
          <w:sz w:val="28"/>
          <w:szCs w:val="28"/>
        </w:rPr>
        <w:t xml:space="preserve">, </w:t>
      </w:r>
      <w:hyperlink r:id="rId11" w:history="1">
        <w:r w:rsidRPr="00783426">
          <w:rPr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или </w:t>
      </w:r>
      <w:hyperlink r:id="rId12" w:history="1">
        <w:r w:rsidRPr="00783426"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, </w:t>
      </w:r>
      <w:hyperlink r:id="rId13" w:history="1">
        <w:r w:rsidRPr="00783426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14" w:history="1">
        <w:r w:rsidRPr="00783426">
          <w:rPr>
            <w:sz w:val="28"/>
            <w:szCs w:val="28"/>
          </w:rPr>
          <w:t>8.2 статьи 66</w:t>
        </w:r>
      </w:hyperlink>
      <w:r>
        <w:rPr>
          <w:sz w:val="28"/>
          <w:szCs w:val="28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31.12.2017 </w:t>
      </w:r>
      <w:hyperlink r:id="rId15" w:history="1">
        <w:r w:rsidRPr="00783426">
          <w:rPr>
            <w:sz w:val="28"/>
            <w:szCs w:val="28"/>
          </w:rPr>
          <w:t>N 504-ФЗ</w:t>
        </w:r>
      </w:hyperlink>
      <w:r>
        <w:rPr>
          <w:sz w:val="28"/>
          <w:szCs w:val="28"/>
        </w:rPr>
        <w:t xml:space="preserve">, от 01.05.2019 </w:t>
      </w:r>
      <w:hyperlink r:id="rId16" w:history="1">
        <w:r w:rsidRPr="00783426">
          <w:rPr>
            <w:sz w:val="28"/>
            <w:szCs w:val="28"/>
          </w:rPr>
          <w:t>N 71-ФЗ</w:t>
        </w:r>
      </w:hyperlink>
      <w:r>
        <w:rPr>
          <w:sz w:val="28"/>
          <w:szCs w:val="28"/>
        </w:rPr>
        <w:t>)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участника такого аукциона требованиям, установленным в соответствии с </w:t>
      </w:r>
      <w:hyperlink r:id="rId17" w:history="1">
        <w:r w:rsidRPr="00783426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, </w:t>
      </w:r>
      <w:hyperlink r:id="rId18" w:history="1">
        <w:r w:rsidRPr="00783426">
          <w:rPr>
            <w:sz w:val="28"/>
            <w:szCs w:val="28"/>
          </w:rPr>
          <w:t>частями 1.1</w:t>
        </w:r>
      </w:hyperlink>
      <w:r>
        <w:rPr>
          <w:sz w:val="28"/>
          <w:szCs w:val="28"/>
        </w:rPr>
        <w:t xml:space="preserve">, </w:t>
      </w:r>
      <w:hyperlink r:id="rId19" w:history="1">
        <w:r w:rsidRPr="00783426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r:id="rId20" w:history="1">
        <w:r w:rsidRPr="00783426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(при наличии таких требований) </w:t>
      </w:r>
      <w:hyperlink r:id="rId21" w:history="1">
        <w:r w:rsidRPr="00783426">
          <w:rPr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04.06.2014 </w:t>
      </w:r>
      <w:hyperlink r:id="rId22" w:history="1">
        <w:r w:rsidRPr="00783426">
          <w:rPr>
            <w:sz w:val="28"/>
            <w:szCs w:val="28"/>
          </w:rPr>
          <w:t>N 140-ФЗ</w:t>
        </w:r>
      </w:hyperlink>
      <w:r>
        <w:rPr>
          <w:sz w:val="28"/>
          <w:szCs w:val="28"/>
        </w:rPr>
        <w:t xml:space="preserve">, от 29.06.2015 </w:t>
      </w:r>
      <w:hyperlink r:id="rId23" w:history="1">
        <w:r w:rsidRPr="00783426">
          <w:rPr>
            <w:sz w:val="28"/>
            <w:szCs w:val="28"/>
          </w:rPr>
          <w:t>N 210-ФЗ</w:t>
        </w:r>
      </w:hyperlink>
      <w:r>
        <w:rPr>
          <w:sz w:val="28"/>
          <w:szCs w:val="28"/>
        </w:rPr>
        <w:t>)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предусмотренном нормативными правовыми актами, принятыми в соответствии со </w:t>
      </w:r>
      <w:hyperlink r:id="rId24" w:history="1">
        <w:r w:rsidRPr="00783426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закона.</w:t>
      </w:r>
      <w:proofErr w:type="gramEnd"/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3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Федеральным </w:t>
      </w:r>
      <w:hyperlink r:id="rId25" w:history="1">
        <w:r w:rsidRPr="0078342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31.12.2017 N 504-ФЗ)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Согласно ч. 7 ст.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ч. 6 ст. 69 Закона о контрактной системе, не допускается. 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п. 5 ч. 5 ст. 66 Закона о контрактной системе, а также п. 6 ч. 5 ст. 66 Закона о контрактной системе, за исключением случая закупки товаров, работ, услуг, в отношении</w:t>
      </w:r>
      <w:proofErr w:type="gramEnd"/>
      <w:r w:rsidRPr="00783426">
        <w:rPr>
          <w:sz w:val="28"/>
          <w:szCs w:val="28"/>
        </w:rPr>
        <w:t xml:space="preserve"> </w:t>
      </w:r>
      <w:proofErr w:type="gramStart"/>
      <w:r w:rsidRPr="00783426">
        <w:rPr>
          <w:sz w:val="28"/>
          <w:szCs w:val="28"/>
        </w:rPr>
        <w:t>которых</w:t>
      </w:r>
      <w:proofErr w:type="gramEnd"/>
      <w:r w:rsidRPr="00783426">
        <w:rPr>
          <w:sz w:val="28"/>
          <w:szCs w:val="28"/>
        </w:rPr>
        <w:t xml:space="preserve"> установлен запрет, предусмотренный ст. 14 Закона о контрактной системе.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Пунктом </w:t>
      </w:r>
      <w:r w:rsidRPr="00E046BB">
        <w:rPr>
          <w:sz w:val="28"/>
          <w:szCs w:val="28"/>
        </w:rPr>
        <w:t xml:space="preserve">2.1. </w:t>
      </w:r>
      <w:r w:rsidRPr="00783426">
        <w:rPr>
          <w:sz w:val="28"/>
          <w:szCs w:val="28"/>
        </w:rPr>
        <w:t xml:space="preserve">документации о закупке установлены требования к участникам </w:t>
      </w:r>
      <w:r w:rsidRPr="00E046BB">
        <w:rPr>
          <w:sz w:val="28"/>
          <w:szCs w:val="28"/>
        </w:rPr>
        <w:t>закупки, в частности, о соответствии требованиям, предъявляемым к участникам закупки в соответствии со статьей 31 Федерального закона.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46BB">
        <w:rPr>
          <w:sz w:val="28"/>
          <w:szCs w:val="28"/>
        </w:rPr>
        <w:t>В соответствии с п. 14 документации о закупке вторая часть заявки должна содержать документы, подтверждающие соответствие участника электронного аукциона требованиям, установленным п. 1 ч. 1 ст. 31 Закона о контрактной системе (документы, подтверждающие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закупки), или копии этих документов: в целях определения</w:t>
      </w:r>
      <w:proofErr w:type="gramEnd"/>
      <w:r w:rsidRPr="00E046BB">
        <w:rPr>
          <w:sz w:val="28"/>
          <w:szCs w:val="28"/>
        </w:rPr>
        <w:t xml:space="preserve"> соответствия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будут рассматриваться документы, из числа документов, направленных оператором электронной площадки в соответствии с ч. 19 ст. 68 Закона о контрактной системе.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 xml:space="preserve">В приложении к документации о проведении электронного аукциона "Техническое задание «указано: оказание образовательных услуг по повышению квалификации и профессиональной переподготовке </w:t>
      </w:r>
      <w:r w:rsidRPr="00E046BB">
        <w:rPr>
          <w:sz w:val="28"/>
          <w:szCs w:val="28"/>
        </w:rPr>
        <w:lastRenderedPageBreak/>
        <w:t>специалистов, для обеспечения государственных нужд Ставропольского края (код ОКПД 2 85.42.19.000) в объеме в соответствии с Приложением к Техническому заданию.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Заказчиком наличие у участника электронного аукциона лицензии на осуществлении образовательных услуг не установлено.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Pr="00783426">
        <w:rPr>
          <w:sz w:val="28"/>
          <w:szCs w:val="28"/>
        </w:rPr>
        <w:t>бщественные отношения, возникающие в сфере образования, регулируются Законом N 273-ФЗ.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пункту 17 статьи 2 Закона N 273-ФЗ образовательной деятельностью признается деятельность по реализации образовательных программ.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пункте 20 ст. 2 Закона N 273-ФЗ определено, что организации, осуществляющие образовательную деятельность - это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части 1 статьи 21 Закона N 273-ФЗ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 В соответствии с частью 2 статьи 21 Закона N 273-ФЗ на индивидуальных предпринимателей распространяются все права и обязанности образовательной организации.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силу ч. 3 ст. 32 Закона N 273-ФЗ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5F4685" w:rsidRPr="0078342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Pr="00783426">
        <w:rPr>
          <w:sz w:val="28"/>
          <w:szCs w:val="28"/>
        </w:rPr>
        <w:t xml:space="preserve">орядок осуществления индивидуальным предпринимателем образовательной деятельности "непосредственно" в Законе N 237-ФЗ не урегулирован. Системное толкования понятия образовательная деятельность и положений ч. 3 ст. 32 Закона N 273-ФЗ позволяет сделать вывод, что это деятельность индивидуального предпринимателя по реализации образовательных программ, которая </w:t>
      </w:r>
      <w:r w:rsidRPr="00783426">
        <w:rPr>
          <w:sz w:val="28"/>
          <w:szCs w:val="28"/>
        </w:rPr>
        <w:lastRenderedPageBreak/>
        <w:t>осуществляется без привлечения предпринимателем педагогических работников.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Комиссией было установлено, что согласно  ЕГРИП ИП Аблюкова А. В. среди видов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том числе осуществляет: 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85.11</w:t>
      </w:r>
      <w:r>
        <w:rPr>
          <w:sz w:val="28"/>
          <w:szCs w:val="28"/>
        </w:rPr>
        <w:t xml:space="preserve">  </w:t>
      </w:r>
      <w:r w:rsidRPr="00E046BB">
        <w:rPr>
          <w:sz w:val="28"/>
          <w:szCs w:val="28"/>
        </w:rPr>
        <w:t>Образование дошкольное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85.14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среднее общее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85.30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Обучение профессиональное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85.41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дополнительное детей и взрослых</w:t>
      </w:r>
    </w:p>
    <w:p w:rsidR="005F4685" w:rsidRPr="00E046BB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85.42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профессиональное дополнительное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заседании Комиссии представлен Договор № 0207/20 от 07.02.2020 г., заключенный между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и АНО ДПО «Ставрополь Профи» о сетевой форме реализации образовательных программ.</w:t>
      </w:r>
    </w:p>
    <w:p w:rsidR="005F4685" w:rsidRPr="004F77D6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Комиссией Ставропольского УФАС России по контролю в сфере закупок, установлено, что Заявка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допущена до участия в электронном аукционе в полном соответствии с ч. 6</w:t>
      </w:r>
      <w:r w:rsidRPr="006A7A99">
        <w:rPr>
          <w:sz w:val="28"/>
          <w:szCs w:val="28"/>
        </w:rPr>
        <w:t>ст. 6</w:t>
      </w:r>
      <w:r>
        <w:rPr>
          <w:sz w:val="28"/>
          <w:szCs w:val="28"/>
        </w:rPr>
        <w:t>9</w:t>
      </w:r>
      <w:r w:rsidRPr="006A7A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№44-ФЗ.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5F4685" w:rsidRDefault="005F4685" w:rsidP="005F4685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</w:p>
    <w:p w:rsidR="005F4685" w:rsidRDefault="005F4685" w:rsidP="005F4685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5F4685" w:rsidRDefault="005F4685" w:rsidP="005F4685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7D6">
        <w:rPr>
          <w:sz w:val="28"/>
          <w:szCs w:val="28"/>
        </w:rPr>
        <w:t>Признать жалоб</w:t>
      </w:r>
      <w:proofErr w:type="gramStart"/>
      <w:r w:rsidRPr="004F77D6">
        <w:rPr>
          <w:sz w:val="28"/>
          <w:szCs w:val="28"/>
        </w:rPr>
        <w:t xml:space="preserve">у </w:t>
      </w:r>
      <w:r w:rsidRPr="00473363">
        <w:rPr>
          <w:sz w:val="28"/>
          <w:szCs w:val="28"/>
        </w:rPr>
        <w:t>ООО</w:t>
      </w:r>
      <w:proofErr w:type="gramEnd"/>
      <w:r w:rsidRPr="00473363">
        <w:rPr>
          <w:sz w:val="28"/>
          <w:szCs w:val="28"/>
        </w:rPr>
        <w:t xml:space="preserve">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специалистов, для обеспечения государственных нужд Ставропольского края»</w:t>
      </w:r>
      <w:r w:rsidRPr="004F77D6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4F77D6">
        <w:rPr>
          <w:sz w:val="28"/>
          <w:szCs w:val="28"/>
        </w:rPr>
        <w:t>обоснованной.</w:t>
      </w:r>
    </w:p>
    <w:p w:rsidR="005F4685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lastRenderedPageBreak/>
        <w:t>Настоящее решение может быть обжаловано в судебном порядке в течение трех месяцев со дня его принятия.</w:t>
      </w:r>
    </w:p>
    <w:p w:rsidR="005F4685" w:rsidRPr="00AB541C" w:rsidRDefault="005F4685" w:rsidP="005F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685" w:rsidRDefault="005F4685" w:rsidP="005F46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 комиссии:                                                         Е. А. Соколов</w:t>
      </w:r>
    </w:p>
    <w:p w:rsidR="005F4685" w:rsidRDefault="005F4685" w:rsidP="005F4685">
      <w:pPr>
        <w:autoSpaceDE w:val="0"/>
        <w:autoSpaceDN w:val="0"/>
        <w:adjustRightInd w:val="0"/>
        <w:rPr>
          <w:sz w:val="28"/>
          <w:szCs w:val="28"/>
        </w:rPr>
      </w:pPr>
    </w:p>
    <w:p w:rsidR="005F4685" w:rsidRDefault="005F4685" w:rsidP="005F46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 В. Вишневская</w:t>
      </w:r>
    </w:p>
    <w:p w:rsidR="005F4685" w:rsidRDefault="005F4685" w:rsidP="005F46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         </w:t>
      </w:r>
    </w:p>
    <w:p w:rsidR="005F4685" w:rsidRPr="00281E20" w:rsidRDefault="005F4685" w:rsidP="005F46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И. </w:t>
      </w:r>
      <w:proofErr w:type="spellStart"/>
      <w:r>
        <w:rPr>
          <w:sz w:val="28"/>
          <w:szCs w:val="28"/>
        </w:rPr>
        <w:t>Рошевский</w:t>
      </w:r>
      <w:proofErr w:type="spellEnd"/>
    </w:p>
    <w:p w:rsidR="005F4685" w:rsidRDefault="005F4685" w:rsidP="005F46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4685" w:rsidRPr="006D22D8" w:rsidRDefault="005F4685" w:rsidP="005F46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 М. </w:t>
      </w:r>
      <w:proofErr w:type="spellStart"/>
      <w:r>
        <w:rPr>
          <w:sz w:val="28"/>
          <w:szCs w:val="28"/>
        </w:rPr>
        <w:t>Резцова</w:t>
      </w:r>
      <w:proofErr w:type="spellEnd"/>
    </w:p>
    <w:p w:rsidR="005F4685" w:rsidRDefault="005F4685" w:rsidP="005F468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685" w:rsidRDefault="005F4685" w:rsidP="005F4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685" w:rsidRDefault="005F4685" w:rsidP="005F468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685" w:rsidRPr="005F4685" w:rsidRDefault="005F4685" w:rsidP="00E315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5E3" w:rsidRDefault="00E315E3" w:rsidP="00E315E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15E3" w:rsidSect="006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5"/>
    <w:rsid w:val="00034777"/>
    <w:rsid w:val="000555DC"/>
    <w:rsid w:val="00080A10"/>
    <w:rsid w:val="000C4808"/>
    <w:rsid w:val="000C5413"/>
    <w:rsid w:val="000D068D"/>
    <w:rsid w:val="000D718C"/>
    <w:rsid w:val="000E2AC7"/>
    <w:rsid w:val="0010522C"/>
    <w:rsid w:val="0010603B"/>
    <w:rsid w:val="0011654B"/>
    <w:rsid w:val="00134931"/>
    <w:rsid w:val="00163A77"/>
    <w:rsid w:val="00166F17"/>
    <w:rsid w:val="001A7977"/>
    <w:rsid w:val="001B7635"/>
    <w:rsid w:val="001D2A83"/>
    <w:rsid w:val="001E34C3"/>
    <w:rsid w:val="001E5683"/>
    <w:rsid w:val="001F0E6A"/>
    <w:rsid w:val="00212714"/>
    <w:rsid w:val="00225087"/>
    <w:rsid w:val="0022657B"/>
    <w:rsid w:val="00252E25"/>
    <w:rsid w:val="00257FDE"/>
    <w:rsid w:val="002C290B"/>
    <w:rsid w:val="002E5073"/>
    <w:rsid w:val="003025A5"/>
    <w:rsid w:val="0032413F"/>
    <w:rsid w:val="00336A2B"/>
    <w:rsid w:val="00341BF4"/>
    <w:rsid w:val="00357EAC"/>
    <w:rsid w:val="00360223"/>
    <w:rsid w:val="003629C2"/>
    <w:rsid w:val="003703D9"/>
    <w:rsid w:val="00370B66"/>
    <w:rsid w:val="00382D93"/>
    <w:rsid w:val="003865CA"/>
    <w:rsid w:val="00392F3B"/>
    <w:rsid w:val="003C1316"/>
    <w:rsid w:val="003E1474"/>
    <w:rsid w:val="003E48C7"/>
    <w:rsid w:val="0044479F"/>
    <w:rsid w:val="00447E44"/>
    <w:rsid w:val="00453050"/>
    <w:rsid w:val="00470BC2"/>
    <w:rsid w:val="00475566"/>
    <w:rsid w:val="00481559"/>
    <w:rsid w:val="00491038"/>
    <w:rsid w:val="0049171F"/>
    <w:rsid w:val="00492652"/>
    <w:rsid w:val="004A1000"/>
    <w:rsid w:val="004A74A5"/>
    <w:rsid w:val="004D3056"/>
    <w:rsid w:val="00500F71"/>
    <w:rsid w:val="00501D93"/>
    <w:rsid w:val="0051019C"/>
    <w:rsid w:val="005116FE"/>
    <w:rsid w:val="005120FF"/>
    <w:rsid w:val="00525BD5"/>
    <w:rsid w:val="00572BA9"/>
    <w:rsid w:val="00585687"/>
    <w:rsid w:val="005A0358"/>
    <w:rsid w:val="005A22FA"/>
    <w:rsid w:val="005B077C"/>
    <w:rsid w:val="005E4098"/>
    <w:rsid w:val="005E4973"/>
    <w:rsid w:val="005F4685"/>
    <w:rsid w:val="00603469"/>
    <w:rsid w:val="006201C3"/>
    <w:rsid w:val="006237EB"/>
    <w:rsid w:val="0063386E"/>
    <w:rsid w:val="0063422C"/>
    <w:rsid w:val="00665719"/>
    <w:rsid w:val="00665BF2"/>
    <w:rsid w:val="00666CF0"/>
    <w:rsid w:val="00672180"/>
    <w:rsid w:val="00673392"/>
    <w:rsid w:val="006B2267"/>
    <w:rsid w:val="006E0B5D"/>
    <w:rsid w:val="00724B02"/>
    <w:rsid w:val="00727E0A"/>
    <w:rsid w:val="007664FB"/>
    <w:rsid w:val="00782169"/>
    <w:rsid w:val="0078732A"/>
    <w:rsid w:val="007A49E9"/>
    <w:rsid w:val="007C1808"/>
    <w:rsid w:val="007E32CC"/>
    <w:rsid w:val="007F5A54"/>
    <w:rsid w:val="00801AC0"/>
    <w:rsid w:val="008067F4"/>
    <w:rsid w:val="008116BB"/>
    <w:rsid w:val="008201CB"/>
    <w:rsid w:val="00843D8E"/>
    <w:rsid w:val="008523DA"/>
    <w:rsid w:val="00870D5B"/>
    <w:rsid w:val="008720C4"/>
    <w:rsid w:val="008943D9"/>
    <w:rsid w:val="008B1F4D"/>
    <w:rsid w:val="008C6E55"/>
    <w:rsid w:val="008D5F67"/>
    <w:rsid w:val="00913D07"/>
    <w:rsid w:val="009209CA"/>
    <w:rsid w:val="00931B57"/>
    <w:rsid w:val="009624B7"/>
    <w:rsid w:val="00963AC7"/>
    <w:rsid w:val="009673F1"/>
    <w:rsid w:val="00977F78"/>
    <w:rsid w:val="0099545D"/>
    <w:rsid w:val="009C2572"/>
    <w:rsid w:val="009C55E9"/>
    <w:rsid w:val="009D2FBF"/>
    <w:rsid w:val="009E7AD4"/>
    <w:rsid w:val="009F2456"/>
    <w:rsid w:val="009F417A"/>
    <w:rsid w:val="00A02616"/>
    <w:rsid w:val="00A16094"/>
    <w:rsid w:val="00A248BB"/>
    <w:rsid w:val="00A30EB6"/>
    <w:rsid w:val="00A4344C"/>
    <w:rsid w:val="00A4792A"/>
    <w:rsid w:val="00A5683C"/>
    <w:rsid w:val="00A60CD9"/>
    <w:rsid w:val="00A94FA3"/>
    <w:rsid w:val="00AA6D20"/>
    <w:rsid w:val="00AC1781"/>
    <w:rsid w:val="00AC6527"/>
    <w:rsid w:val="00AD6DC4"/>
    <w:rsid w:val="00AD75D1"/>
    <w:rsid w:val="00B07CF4"/>
    <w:rsid w:val="00B27FA6"/>
    <w:rsid w:val="00B61B90"/>
    <w:rsid w:val="00B7410C"/>
    <w:rsid w:val="00B84F2C"/>
    <w:rsid w:val="00BA2EDA"/>
    <w:rsid w:val="00BB703A"/>
    <w:rsid w:val="00BB77DA"/>
    <w:rsid w:val="00BC6350"/>
    <w:rsid w:val="00BC6E12"/>
    <w:rsid w:val="00BD33BD"/>
    <w:rsid w:val="00BE03CD"/>
    <w:rsid w:val="00C12F66"/>
    <w:rsid w:val="00C41722"/>
    <w:rsid w:val="00C56252"/>
    <w:rsid w:val="00C60F11"/>
    <w:rsid w:val="00C71638"/>
    <w:rsid w:val="00C72808"/>
    <w:rsid w:val="00C72E93"/>
    <w:rsid w:val="00CB2996"/>
    <w:rsid w:val="00CB6667"/>
    <w:rsid w:val="00D0283C"/>
    <w:rsid w:val="00D0509D"/>
    <w:rsid w:val="00D32454"/>
    <w:rsid w:val="00D350A7"/>
    <w:rsid w:val="00D74462"/>
    <w:rsid w:val="00D77A3A"/>
    <w:rsid w:val="00DA17C9"/>
    <w:rsid w:val="00DD0745"/>
    <w:rsid w:val="00DD18A4"/>
    <w:rsid w:val="00E01226"/>
    <w:rsid w:val="00E063D7"/>
    <w:rsid w:val="00E122B3"/>
    <w:rsid w:val="00E20B95"/>
    <w:rsid w:val="00E25312"/>
    <w:rsid w:val="00E315E3"/>
    <w:rsid w:val="00E31615"/>
    <w:rsid w:val="00E344A8"/>
    <w:rsid w:val="00E442D6"/>
    <w:rsid w:val="00E47FB8"/>
    <w:rsid w:val="00E50522"/>
    <w:rsid w:val="00E70DA3"/>
    <w:rsid w:val="00E82E40"/>
    <w:rsid w:val="00E93D9B"/>
    <w:rsid w:val="00EC756B"/>
    <w:rsid w:val="00EF0519"/>
    <w:rsid w:val="00F1414F"/>
    <w:rsid w:val="00F17D11"/>
    <w:rsid w:val="00F20569"/>
    <w:rsid w:val="00F21B63"/>
    <w:rsid w:val="00F25728"/>
    <w:rsid w:val="00F2717A"/>
    <w:rsid w:val="00F57D83"/>
    <w:rsid w:val="00F62F5F"/>
    <w:rsid w:val="00F70583"/>
    <w:rsid w:val="00F72EE2"/>
    <w:rsid w:val="00F8752E"/>
    <w:rsid w:val="00F94C51"/>
    <w:rsid w:val="00FA4C41"/>
    <w:rsid w:val="00FA660E"/>
    <w:rsid w:val="00FB12F9"/>
    <w:rsid w:val="00FC3C88"/>
    <w:rsid w:val="00FC502F"/>
    <w:rsid w:val="00FC627F"/>
    <w:rsid w:val="00FC7189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uiPriority w:val="9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pc">
    <w:name w:val="pc"/>
    <w:basedOn w:val="a"/>
    <w:rsid w:val="0016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49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13493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1">
    <w:name w:val="Подпись к таблице_"/>
    <w:link w:val="af2"/>
    <w:rsid w:val="001349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931"/>
    <w:pPr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2">
    <w:name w:val="Подпись к таблице"/>
    <w:basedOn w:val="a"/>
    <w:link w:val="af1"/>
    <w:rsid w:val="0013493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E315E3"/>
    <w:pPr>
      <w:spacing w:after="0" w:line="240" w:lineRule="auto"/>
    </w:pPr>
    <w:rPr>
      <w:rFonts w:ascii="Calibri" w:eastAsia="Times New Roman" w:hAnsi="Calibri" w:cs="Tahom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5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3">
    <w:name w:val="Body Text Indent"/>
    <w:basedOn w:val="a"/>
    <w:link w:val="af4"/>
    <w:uiPriority w:val="99"/>
    <w:semiHidden/>
    <w:unhideWhenUsed/>
    <w:rsid w:val="005101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019C"/>
  </w:style>
  <w:style w:type="paragraph" w:customStyle="1" w:styleId="Default">
    <w:name w:val="Default"/>
    <w:rsid w:val="0051019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uiPriority w:val="9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pc">
    <w:name w:val="pc"/>
    <w:basedOn w:val="a"/>
    <w:rsid w:val="0016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49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13493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1">
    <w:name w:val="Подпись к таблице_"/>
    <w:link w:val="af2"/>
    <w:rsid w:val="001349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931"/>
    <w:pPr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2">
    <w:name w:val="Подпись к таблице"/>
    <w:basedOn w:val="a"/>
    <w:link w:val="af1"/>
    <w:rsid w:val="0013493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E315E3"/>
    <w:pPr>
      <w:spacing w:after="0" w:line="240" w:lineRule="auto"/>
    </w:pPr>
    <w:rPr>
      <w:rFonts w:ascii="Calibri" w:eastAsia="Times New Roman" w:hAnsi="Calibri" w:cs="Tahom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5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3">
    <w:name w:val="Body Text Indent"/>
    <w:basedOn w:val="a"/>
    <w:link w:val="af4"/>
    <w:uiPriority w:val="99"/>
    <w:semiHidden/>
    <w:unhideWhenUsed/>
    <w:rsid w:val="005101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019C"/>
  </w:style>
  <w:style w:type="paragraph" w:customStyle="1" w:styleId="Default">
    <w:name w:val="Default"/>
    <w:rsid w:val="0051019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9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824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37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1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988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918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463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22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351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24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660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39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10pr@mail.ru" TargetMode="External"/><Relationship Id="rId13" Type="http://schemas.openxmlformats.org/officeDocument/2006/relationships/hyperlink" Target="consultantplus://offline/ref=ECB4F6271FFB745DACA25EFF1A4E8B7954942711E406BF8B1A7B25E65FB0C567856F872AB1C7ED59D59820A6ED79DF6C37DC28645EE62622dAB6H" TargetMode="External"/><Relationship Id="rId18" Type="http://schemas.openxmlformats.org/officeDocument/2006/relationships/hyperlink" Target="consultantplus://offline/ref=ECB4F6271FFB745DACA25EFF1A4E8B7954942711E406BF8B1A7B25E65FB0C567856F872AB1C6E25DD39820A6ED79DF6C37DC28645EE62622dAB6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B4F6271FFB745DACA25EFF1A4E8B7954942711E406BF8B1A7B25E65FB0C567856F872AB1C7E65FD79820A6ED79DF6C37DC28645EE62622dAB6H" TargetMode="External"/><Relationship Id="rId7" Type="http://schemas.openxmlformats.org/officeDocument/2006/relationships/hyperlink" Target="mailto:89153135202@mail.ru" TargetMode="External"/><Relationship Id="rId12" Type="http://schemas.openxmlformats.org/officeDocument/2006/relationships/hyperlink" Target="consultantplus://offline/ref=ECB4F6271FFB745DACA25EFF1A4E8B7954942711E406BF8B1A7B25E65FB0C567856F872AB3C2E75787C230A2A42DDB733EC7366340E6d2B6H" TargetMode="External"/><Relationship Id="rId17" Type="http://schemas.openxmlformats.org/officeDocument/2006/relationships/hyperlink" Target="consultantplus://offline/ref=ECB4F6271FFB745DACA25EFF1A4E8B7954942711E406BF8B1A7B25E65FB0C567856F872AB1C7E65FD69820A6ED79DF6C37DC28645EE62622dAB6H" TargetMode="External"/><Relationship Id="rId25" Type="http://schemas.openxmlformats.org/officeDocument/2006/relationships/hyperlink" Target="consultantplus://offline/ref=ECB4F6271FFB745DACA25EFF1A4E8B7955992014E509BF8B1A7B25E65FB0C567856F872AB1C7E058D09820A6ED79DF6C37DC28645EE62622dAB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B4F6271FFB745DACA25EFF1A4E8B7954932514EA0ABF8B1A7B25E65FB0C567856F872AB1C7E75DD19820A6ED79DF6C37DC28645EE62622dAB6H" TargetMode="External"/><Relationship Id="rId20" Type="http://schemas.openxmlformats.org/officeDocument/2006/relationships/hyperlink" Target="consultantplus://offline/ref=ECB4F6271FFB745DACA25EFF1A4E8B7954942711E406BF8B1A7B25E65FB0C567856F872CB5CCB10D97C679F6A032D26820C02863d4B0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hyperlink" Target="consultantplus://offline/ref=ECB4F6271FFB745DACA25EFF1A4E8B7954942711E406BF8B1A7B25E65FB0C567856F872AB3C2E45787C230A2A42DDB733EC7366340E6d2B6H" TargetMode="External"/><Relationship Id="rId24" Type="http://schemas.openxmlformats.org/officeDocument/2006/relationships/hyperlink" Target="consultantplus://offline/ref=ECB4F6271FFB745DACA25EFF1A4E8B7954942711E406BF8B1A7B25E65FB0C567856F872AB1C7E45DD59820A6ED79DF6C37DC28645EE62622dAB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4F6271FFB745DACA25EFF1A4E8B7955992014E509BF8B1A7B25E65FB0C567856F872AB1C7E058D19820A6ED79DF6C37DC28645EE62622dAB6H" TargetMode="External"/><Relationship Id="rId23" Type="http://schemas.openxmlformats.org/officeDocument/2006/relationships/hyperlink" Target="consultantplus://offline/ref=ECB4F6271FFB745DACA25EFF1A4E8B7954952F14E20CBF8B1A7B25E65FB0C567856F872AB1C6E65ED59820A6ED79DF6C37DC28645EE62622dAB6H" TargetMode="External"/><Relationship Id="rId10" Type="http://schemas.openxmlformats.org/officeDocument/2006/relationships/hyperlink" Target="consultantplus://offline/ref=ECB4F6271FFB745DACA25EFF1A4E8B7954942711E406BF8B1A7B25E65FB0C567856F872FB1CFEE0882D721FAA825CC6D3BDC2A6142dEB4H" TargetMode="External"/><Relationship Id="rId19" Type="http://schemas.openxmlformats.org/officeDocument/2006/relationships/hyperlink" Target="consultantplus://offline/ref=ECB4F6271FFB745DACA25EFF1A4E8B7954942711E406BF8B1A7B25E65FB0C567856F872AB1C7E658D79820A6ED79DF6C37DC28645EE62622dAB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B4F6271FFB745DACA25EFF1A4E8B7954942711E406BF8B1A7B25E65FB0C567856F872AB3C2ED5787C230A2A42DDB733EC7366340E6d2B6H" TargetMode="External"/><Relationship Id="rId22" Type="http://schemas.openxmlformats.org/officeDocument/2006/relationships/hyperlink" Target="consultantplus://offline/ref=ECB4F6271FFB745DACA25EFF1A4E8B795697251AE307BF8B1A7B25E65FB0C567856F872AB1C7E555DA9820A6ED79DF6C37DC28645EE62622dAB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u+1wohdWLgdJbehibjyVjXqckfhnNvyLUaeqMVJCwpg=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8/O4AFiPDguveCJrfFeUcrN+okyDFOQa/5CVyiHt1a4=</DigestValue>
    </Reference>
  </SignedInfo>
  <SignatureValue>4NXWmrGLm84F0+z2c338O9lA7el3aooYq0iSApvRjJsufNzkIxbbqn0VImPS18dk
IzWgWDby5GIPsgv606dYqA==</SignatureValue>
  <KeyInfo>
    <X509Data>
      <X509Certificate>MIIJxTCCCXKgAwIBAgIRAbJiVQBeq82CRDpxetX7DTswCgYIKoUDBwEBAwIwggHo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LdCf0YDQviIwHhcNMjAwMjExMDUwNTUzWhcNMjEwMjExMDUwODExWjCCAWQxGjAY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MCsGA1UdEAQkMCKADzIwMjAwMjExMDUwNTUyWoEPMjAyMTAyMTEwNTA4MTFaMIIB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HQ4EFgQUL+WtAMoxltVJJyhMGzHirS1yn+wwCgYIKoUDBwEBAwIDQQCjWhJ0gi7N
knembPXpM92nv1HWa3vqhLIayQ1w4SmTyLThrZXcfqWi+8I3fc9ycGcJEr8l/GSh
96s6HeYxc8Ie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+28qxpKlC6ya4jr4KEGXi/G+pt8=</DigestValue>
      </Reference>
      <Reference URI="/word/document.xml?ContentType=application/vnd.openxmlformats-officedocument.wordprocessingml.document.main+xml">
        <DigestMethod Algorithm="http://www.w3.org/2000/09/xmldsig#sha1"/>
        <DigestValue>Sviq36URS5ShrH9F8ypGvkT90Uo=</DigestValue>
      </Reference>
      <Reference URI="/word/fontTable.xml?ContentType=application/vnd.openxmlformats-officedocument.wordprocessingml.fontTable+xml">
        <DigestMethod Algorithm="http://www.w3.org/2000/09/xmldsig#sha1"/>
        <DigestValue>D1m9UFrjXFrQ+yEC5KhCAjU2TBo=</DigestValue>
      </Reference>
      <Reference URI="/word/media/image1.png?ContentType=image/png">
        <DigestMethod Algorithm="http://www.w3.org/2000/09/xmldsig#sha1"/>
        <DigestValue>5Zxf9Jdbfru41UEET085KkzhzHY=</DigestValue>
      </Reference>
      <Reference URI="/word/numbering.xml?ContentType=application/vnd.openxmlformats-officedocument.wordprocessingml.numbering+xml">
        <DigestMethod Algorithm="http://www.w3.org/2000/09/xmldsig#sha1"/>
        <DigestValue>PjYReQjm+52rbY0wvDGhQfJguh8=</DigestValue>
      </Reference>
      <Reference URI="/word/settings.xml?ContentType=application/vnd.openxmlformats-officedocument.wordprocessingml.settings+xml">
        <DigestMethod Algorithm="http://www.w3.org/2000/09/xmldsig#sha1"/>
        <DigestValue>5zGakZDPCWY6zQZ1pBqFTPB8bfA=</DigestValue>
      </Reference>
      <Reference URI="/word/styles.xml?ContentType=application/vnd.openxmlformats-officedocument.wordprocessingml.styles+xml">
        <DigestMethod Algorithm="http://www.w3.org/2000/09/xmldsig#sha1"/>
        <DigestValue>kiSmD9OhrpP5RwcTZ9vrE8DD8Fc=</DigestValue>
      </Reference>
      <Reference URI="/word/stylesWithEffects.xml?ContentType=application/vnd.ms-word.stylesWithEffects+xml">
        <DigestMethod Algorithm="http://www.w3.org/2000/09/xmldsig#sha1"/>
        <DigestValue>wHw/euUs7zzYKLIsp/LmMZGrmjQ=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Ly0FmV9xOBLhBz93qVcc0o3iDaQ=</DigestValue>
      </Reference>
    </Manifest>
    <SignatureProperties>
      <SignatureProperty Id="idSignatureTime" Target="#idPackageSignature">
        <mdssi:SignatureTime>
          <mdssi:Format>YYYY-MM-DDThh:mm:ssTZD</mdssi:Format>
          <mdssi:Value>2020-07-08T07:46:50Z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2020-07-08T07:46:50Z</xd:SigningTime>
          <xd:SigningCertificate>
            <xd:Cert>
              <xd:CertDigest>
                <DigestMethod Algorithm="http://www.w3.org/2000/09/xmldsig#sha1"/>
                <DigestValue>bj0/8cfFJL5cBMyA3TPi8e/EOJo=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577395519296905500066316910942425386299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rst</cp:lastModifiedBy>
  <cp:revision>2</cp:revision>
  <cp:lastPrinted>2020-03-03T05:06:00Z</cp:lastPrinted>
  <dcterms:created xsi:type="dcterms:W3CDTF">2020-07-08T07:46:00Z</dcterms:created>
  <dcterms:modified xsi:type="dcterms:W3CDTF">2020-07-08T07:46:00Z</dcterms:modified>
</cp:coreProperties>
</file>